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ExciseFiscalDiagnostic</w:t>
      </w:r>
    </w:p>
    <w:p>
      <w:pPr>
        <w:pStyle w:val="FirstParagraph"/>
      </w:pPr>
      <w:r>
        <w:rPr>
          <w:b/>
          <w:bCs/>
        </w:rPr>
        <w:t xml:space="preserve">WORKING PAPER</w:t>
      </w:r>
    </w:p>
    <w:p>
      <w:pPr>
        <w:pStyle w:val="BodyText"/>
      </w:pPr>
      <w:r>
        <w:rPr>
          <w:b/>
          <w:bCs/>
        </w:rPr>
        <w:t xml:space="preserve">Excise, Externalities and Pathways</w:t>
      </w:r>
    </w:p>
    <w:p>
      <w:pPr>
        <w:pStyle w:val="BodyText"/>
      </w:pPr>
      <w:r>
        <w:rPr>
          <w:i/>
          <w:iCs/>
        </w:rPr>
        <w:t xml:space="preserve">A three-part diagnostic for country fiscal teams</w:t>
      </w:r>
    </w:p>
    <w:p>
      <w:pPr>
        <w:pStyle w:val="BodyText"/>
      </w:pPr>
      <w:r>
        <w:rPr>
          <w:i/>
          <w:iCs/>
        </w:rPr>
        <w:t xml:space="preserve">Combining a structured reading of the excise schedule (Part A) with a standardised health-and-climate externality diagnostic (Part B) and a synthesised policy-pathway analysis (Part C), this paper proposes a recurring institutional product that joins instrument-level legibility to system-level externality reasoning. It harmonises inputs from CPAT, the Climate and Health Program, the IMF Getting Energy Prices Right framework, and country excise schedules into one document a finance minister can read and act on.</w:t>
      </w:r>
    </w:p>
    <w:p>
      <w:pPr>
        <w:pStyle w:val="BodyText"/>
      </w:pPr>
      <w:r>
        <w:rPr>
          <w:b/>
          <w:bCs/>
        </w:rPr>
        <w:t xml:space="preserve">World Bank</w:t>
      </w:r>
    </w:p>
    <w:p>
      <w:pPr>
        <w:pStyle w:val="BodyText"/>
      </w:pPr>
      <w:r>
        <w:t xml:space="preserve">Draft for discussion · May 2026</w:t>
      </w:r>
    </w:p>
    <w:bookmarkStart w:id="9" w:name="contents"/>
    <w:p>
      <w:pPr>
        <w:pStyle w:val="Heading1"/>
      </w:pPr>
      <w:r>
        <w:t xml:space="preserve">Contents</w:t>
      </w:r>
    </w:p>
    <w:bookmarkEnd w:id="9"/>
    <w:bookmarkStart w:id="10" w:name="contents-1"/>
    <w:p>
      <w:pPr>
        <w:pStyle w:val="Heading1"/>
      </w:pPr>
      <w:r>
        <w:t xml:space="preserve">Contents</w:t>
      </w:r>
    </w:p>
    <w:p>
      <w:pPr>
        <w:pStyle w:val="FirstParagraph"/>
      </w:pPr>
      <w:hyperlink w:anchor="contents">
        <w:r>
          <w:rPr>
            <w:rStyle w:val="Hyperlink"/>
          </w:rPr>
          <w:t xml:space="preserve">Contents [2](#contents)</w:t>
        </w:r>
      </w:hyperlink>
    </w:p>
    <w:p>
      <w:pPr>
        <w:pStyle w:val="BodyText"/>
      </w:pPr>
      <w:hyperlink w:anchor="executive-summary">
        <w:r>
          <w:rPr>
            <w:rStyle w:val="Hyperlink"/>
          </w:rPr>
          <w:t xml:space="preserve">Executive Summary [4](#executive-summary)</w:t>
        </w:r>
      </w:hyperlink>
    </w:p>
    <w:p>
      <w:pPr>
        <w:pStyle w:val="BodyText"/>
      </w:pPr>
      <w:hyperlink w:anchor="purpose-and-the-fiscal-bottom-line">
        <w:r>
          <w:rPr>
            <w:rStyle w:val="Hyperlink"/>
          </w:rPr>
          <w:t xml:space="preserve">Purpose and the fiscal bottom line [4](#purpose-and-the-fiscal-bottom-line)</w:t>
        </w:r>
      </w:hyperlink>
    </w:p>
    <w:p>
      <w:pPr>
        <w:pStyle w:val="BodyText"/>
      </w:pPr>
      <w:hyperlink w:anchor="the-three-parts">
        <w:r>
          <w:rPr>
            <w:rStyle w:val="Hyperlink"/>
          </w:rPr>
          <w:t xml:space="preserve">The three parts [5](#the-three-parts)</w:t>
        </w:r>
      </w:hyperlink>
    </w:p>
    <w:p>
      <w:pPr>
        <w:pStyle w:val="BodyText"/>
      </w:pPr>
      <w:hyperlink w:anchor="Xcdfdaef606b8f453d2200e5827f0ec9d5703d46">
        <w:r>
          <w:rPr>
            <w:rStyle w:val="Hyperlink"/>
          </w:rPr>
          <w:t xml:space="preserve">What Part A finds in the two pilot diagnostics [5](#what-part-a-finds-in-the-two-pilot-diagnostics)</w:t>
        </w:r>
      </w:hyperlink>
    </w:p>
    <w:p>
      <w:pPr>
        <w:pStyle w:val="BodyText"/>
      </w:pPr>
      <w:hyperlink w:anchor="what-part-b-contributes-beyond-part-a">
        <w:r>
          <w:rPr>
            <w:rStyle w:val="Hyperlink"/>
          </w:rPr>
          <w:t xml:space="preserve">What Part B contributes beyond Part A [6](#what-part-b-contributes-beyond-part-a)</w:t>
        </w:r>
      </w:hyperlink>
    </w:p>
    <w:p>
      <w:pPr>
        <w:pStyle w:val="BodyText"/>
      </w:pPr>
      <w:hyperlink w:anchor="what-part-c-does-with-the-findings">
        <w:r>
          <w:rPr>
            <w:rStyle w:val="Hyperlink"/>
          </w:rPr>
          <w:t xml:space="preserve">What Part C does with the findings [6](#what-part-c-does-with-the-findings)</w:t>
        </w:r>
      </w:hyperlink>
    </w:p>
    <w:p>
      <w:pPr>
        <w:pStyle w:val="BodyText"/>
      </w:pPr>
      <w:hyperlink w:anchor="X91a8fe5567ae12a6264f4542c86205d77144394">
        <w:r>
          <w:rPr>
            <w:rStyle w:val="Hyperlink"/>
          </w:rPr>
          <w:t xml:space="preserve">The reform priorities the diagnostic identifies [7](#the-reform-priorities-the-diagnostic-identifies)</w:t>
        </w:r>
      </w:hyperlink>
    </w:p>
    <w:p>
      <w:pPr>
        <w:pStyle w:val="BodyText"/>
      </w:pPr>
      <w:hyperlink w:anchor="how-the-diagnostic-maps-to-the-pfr">
        <w:r>
          <w:rPr>
            <w:rStyle w:val="Hyperlink"/>
          </w:rPr>
          <w:t xml:space="preserve">How the diagnostic maps to the PFR [8](#how-the-diagnostic-maps-to-the-pfr)</w:t>
        </w:r>
      </w:hyperlink>
    </w:p>
    <w:p>
      <w:pPr>
        <w:pStyle w:val="BodyText"/>
      </w:pPr>
      <w:hyperlink w:anchor="the-key-questions-the-diagnostic-answers">
        <w:r>
          <w:rPr>
            <w:rStyle w:val="Hyperlink"/>
          </w:rPr>
          <w:t xml:space="preserve">The key questions the diagnostic answers [9](#the-key-questions-the-diagnostic-answers)</w:t>
        </w:r>
      </w:hyperlink>
    </w:p>
    <w:p>
      <w:pPr>
        <w:pStyle w:val="BodyText"/>
      </w:pPr>
      <w:hyperlink w:anchor="X881c3fb35a7ab3bad80f13ba9dd34d6e70b6fdf">
        <w:r>
          <w:rPr>
            <w:rStyle w:val="Hyperlink"/>
          </w:rPr>
          <w:t xml:space="preserve">Key questions and where they are addressed [9](#key-questions-and-where-they-are-addressed)</w:t>
        </w:r>
      </w:hyperlink>
    </w:p>
    <w:p>
      <w:pPr>
        <w:pStyle w:val="BodyText"/>
      </w:pPr>
      <w:hyperlink w:anchor="Xce4c8233e6a8c5af916a2ae7a42e7f4847d6eec">
        <w:r>
          <w:rPr>
            <w:rStyle w:val="Hyperlink"/>
          </w:rPr>
          <w:t xml:space="preserve">Why a synthesis layer is the contribution [11](#why-a-synthesis-layer-is-the-contribution)</w:t>
        </w:r>
      </w:hyperlink>
    </w:p>
    <w:p>
      <w:pPr>
        <w:pStyle w:val="BodyText"/>
      </w:pPr>
      <w:hyperlink w:anchor="X92696ea46ae5c2c57f5098d102d4cb0a9274210">
        <w:r>
          <w:rPr>
            <w:rStyle w:val="Hyperlink"/>
          </w:rPr>
          <w:t xml:space="preserve">A1. What an excise diagnostic is, and what it is for [14](#a1.-what-an-excise-diagnostic-is-and-what-it-is-for)</w:t>
        </w:r>
      </w:hyperlink>
    </w:p>
    <w:p>
      <w:pPr>
        <w:pStyle w:val="BodyText"/>
      </w:pPr>
      <w:hyperlink w:anchor="key-questions-part-a-answers">
        <w:r>
          <w:rPr>
            <w:rStyle w:val="Hyperlink"/>
          </w:rPr>
          <w:t xml:space="preserve">Key questions Part A answers [15](#key-questions-part-a-answers)</w:t>
        </w:r>
      </w:hyperlink>
    </w:p>
    <w:p>
      <w:pPr>
        <w:pStyle w:val="BodyText"/>
      </w:pPr>
      <w:hyperlink w:anchor="a2.-three-measures-for-comparability">
        <w:r>
          <w:rPr>
            <w:rStyle w:val="Hyperlink"/>
          </w:rPr>
          <w:t xml:space="preserve">A2. Three measures for comparability [15](#a2.-three-measures-for-comparability)</w:t>
        </w:r>
      </w:hyperlink>
    </w:p>
    <w:p>
      <w:pPr>
        <w:pStyle w:val="BodyText"/>
      </w:pPr>
      <w:hyperlink w:anchor="a3.-methodology">
        <w:r>
          <w:rPr>
            <w:rStyle w:val="Hyperlink"/>
          </w:rPr>
          <w:t xml:space="preserve">A3. Methodology [16](#a3.-methodology)</w:t>
        </w:r>
      </w:hyperlink>
    </w:p>
    <w:p>
      <w:pPr>
        <w:pStyle w:val="BodyText"/>
      </w:pPr>
      <w:hyperlink w:anchor="a4.-results">
        <w:r>
          <w:rPr>
            <w:rStyle w:val="Hyperlink"/>
          </w:rPr>
          <w:t xml:space="preserve">A4. Results [19](#a4.-results)</w:t>
        </w:r>
      </w:hyperlink>
    </w:p>
    <w:p>
      <w:pPr>
        <w:pStyle w:val="BodyText"/>
      </w:pPr>
      <w:hyperlink w:anchor="Xe7a9c80161845e76be4e4a38d69397eda34a282">
        <w:r>
          <w:rPr>
            <w:rStyle w:val="Hyperlink"/>
          </w:rPr>
          <w:t xml:space="preserve">A5. Worked computations of the three measures [21](#a5.-worked-computations-of-the-three-measures)</w:t>
        </w:r>
      </w:hyperlink>
    </w:p>
    <w:p>
      <w:pPr>
        <w:pStyle w:val="BodyText"/>
      </w:pPr>
      <w:hyperlink w:anchor="a6.-part-a-conclusion">
        <w:r>
          <w:rPr>
            <w:rStyle w:val="Hyperlink"/>
          </w:rPr>
          <w:t xml:space="preserve">A6. Part A conclusion [24](#a6.-part-a-conclusion)</w:t>
        </w:r>
      </w:hyperlink>
    </w:p>
    <w:p>
      <w:pPr>
        <w:pStyle w:val="BodyText"/>
      </w:pPr>
      <w:hyperlink w:anchor="b1.-purpose-and-structure">
        <w:r>
          <w:rPr>
            <w:rStyle w:val="Hyperlink"/>
          </w:rPr>
          <w:t xml:space="preserve">B1. Purpose and Structure [27](#b1.-purpose-and-structure)</w:t>
        </w:r>
      </w:hyperlink>
    </w:p>
    <w:p>
      <w:pPr>
        <w:pStyle w:val="BodyText"/>
      </w:pPr>
      <w:hyperlink w:anchor="purpose">
        <w:r>
          <w:rPr>
            <w:rStyle w:val="Hyperlink"/>
          </w:rPr>
          <w:t xml:space="preserve">Purpose [27](#purpose)</w:t>
        </w:r>
      </w:hyperlink>
    </w:p>
    <w:p>
      <w:pPr>
        <w:pStyle w:val="BodyText"/>
      </w:pPr>
      <w:hyperlink w:anchor="key-questions-and-the-climatehealth-join">
        <w:r>
          <w:rPr>
            <w:rStyle w:val="Hyperlink"/>
          </w:rPr>
          <w:t xml:space="preserve">Key questions and the climate–health join [27](#key-questions-and-the-climatehealth-join)</w:t>
        </w:r>
      </w:hyperlink>
    </w:p>
    <w:p>
      <w:pPr>
        <w:pStyle w:val="BodyText"/>
      </w:pPr>
      <w:hyperlink w:anchor="proposed-report-structure">
        <w:r>
          <w:rPr>
            <w:rStyle w:val="Hyperlink"/>
          </w:rPr>
          <w:t xml:space="preserve">Proposed report structure [30](#proposed-report-structure)</w:t>
        </w:r>
      </w:hyperlink>
    </w:p>
    <w:p>
      <w:pPr>
        <w:pStyle w:val="BodyText"/>
      </w:pPr>
      <w:hyperlink w:anchor="what-the-join-does-and-does-not-require">
        <w:r>
          <w:rPr>
            <w:rStyle w:val="Hyperlink"/>
          </w:rPr>
          <w:t xml:space="preserve">What the join does and does not require [31](#what-the-join-does-and-does-not-require)</w:t>
        </w:r>
      </w:hyperlink>
    </w:p>
    <w:p>
      <w:pPr>
        <w:pStyle w:val="BodyText"/>
      </w:pPr>
      <w:hyperlink w:anchor="b2.-existing-international-work">
        <w:r>
          <w:rPr>
            <w:rStyle w:val="Hyperlink"/>
          </w:rPr>
          <w:t xml:space="preserve">B2. Existing international work [32](#b2.-existing-international-work)</w:t>
        </w:r>
      </w:hyperlink>
    </w:p>
    <w:p>
      <w:pPr>
        <w:pStyle w:val="BodyText"/>
      </w:pPr>
      <w:hyperlink w:anchor="b3.-existing-national-work">
        <w:r>
          <w:rPr>
            <w:rStyle w:val="Hyperlink"/>
          </w:rPr>
          <w:t xml:space="preserve">B3. Existing national work [33](#b3.-existing-national-work)</w:t>
        </w:r>
      </w:hyperlink>
    </w:p>
    <w:p>
      <w:pPr>
        <w:pStyle w:val="BodyText"/>
      </w:pPr>
      <w:hyperlink w:anchor="b4.-data-needs-and-gaps">
        <w:r>
          <w:rPr>
            <w:rStyle w:val="Hyperlink"/>
          </w:rPr>
          <w:t xml:space="preserve">B4. Data needs and gaps [35](#b4.-data-needs-and-gaps)</w:t>
        </w:r>
      </w:hyperlink>
    </w:p>
    <w:p>
      <w:pPr>
        <w:pStyle w:val="BodyText"/>
      </w:pPr>
      <w:hyperlink w:anchor="X8dbfd816316acb9834152cd914f24982c855dbf">
        <w:r>
          <w:rPr>
            <w:rStyle w:val="Hyperlink"/>
          </w:rPr>
          <w:t xml:space="preserve">B5. The valuation spine: standardized parameters [36](#b5.-the-valuation-spine-standardized-parameters)</w:t>
        </w:r>
      </w:hyperlink>
    </w:p>
    <w:p>
      <w:pPr>
        <w:pStyle w:val="BodyText"/>
      </w:pPr>
      <w:hyperlink w:anchor="b6.-worked-example-a-draft-tier-2-report">
        <w:r>
          <w:rPr>
            <w:rStyle w:val="Hyperlink"/>
          </w:rPr>
          <w:t xml:space="preserve">B6. Worked example: a draft Tier 2 report [37](#b6.-worked-example-a-draft-tier-2-report)</w:t>
        </w:r>
      </w:hyperlink>
    </w:p>
    <w:p>
      <w:pPr>
        <w:pStyle w:val="BodyText"/>
      </w:pPr>
      <w:hyperlink w:anchor="c1.-purpose-and-structure">
        <w:r>
          <w:rPr>
            <w:rStyle w:val="Hyperlink"/>
          </w:rPr>
          <w:t xml:space="preserve">C1. Purpose and structure [43](#c1.-purpose-and-structure)</w:t>
        </w:r>
      </w:hyperlink>
    </w:p>
    <w:p>
      <w:pPr>
        <w:pStyle w:val="BodyText"/>
      </w:pPr>
      <w:hyperlink w:anchor="key-questions-part-c-answers">
        <w:r>
          <w:rPr>
            <w:rStyle w:val="Hyperlink"/>
          </w:rPr>
          <w:t xml:space="preserve">Key questions Part C answers [43](#key-questions-part-c-answers)</w:t>
        </w:r>
      </w:hyperlink>
    </w:p>
    <w:p>
      <w:pPr>
        <w:pStyle w:val="BodyText"/>
      </w:pPr>
      <w:hyperlink w:anchor="X032db28c0234b3b613efe23048ae11161284626">
        <w:r>
          <w:rPr>
            <w:rStyle w:val="Hyperlink"/>
          </w:rPr>
          <w:t xml:space="preserve">C2. Existing proposals and the candidates inherited from Parts A and B [44](#c2.-existing-proposals-and-the-candidates-inherited-from-parts-a-and-b)</w:t>
        </w:r>
      </w:hyperlink>
    </w:p>
    <w:p>
      <w:pPr>
        <w:pStyle w:val="BodyText"/>
      </w:pPr>
      <w:hyperlink w:anchor="Xbd6afad577d5a08dce0b90f44da12dee09408ee">
        <w:r>
          <w:rPr>
            <w:rStyle w:val="Hyperlink"/>
          </w:rPr>
          <w:t xml:space="preserve">C3. Success stories — comparator-country experience [46](#c3.-success-stories-comparator-country-experience)</w:t>
        </w:r>
      </w:hyperlink>
    </w:p>
    <w:p>
      <w:pPr>
        <w:pStyle w:val="BodyText"/>
      </w:pPr>
      <w:hyperlink w:anchor="c4.-narrative-political-economy-analysis">
        <w:r>
          <w:rPr>
            <w:rStyle w:val="Hyperlink"/>
          </w:rPr>
          <w:t xml:space="preserve">C4. Narrative political-economy analysis [47](#c4.-narrative-political-economy-analysis)</w:t>
        </w:r>
      </w:hyperlink>
    </w:p>
    <w:p>
      <w:pPr>
        <w:pStyle w:val="BodyText"/>
      </w:pPr>
      <w:hyperlink w:anchor="c5.-a-sequenced-reform-pathway">
        <w:r>
          <w:rPr>
            <w:rStyle w:val="Hyperlink"/>
          </w:rPr>
          <w:t xml:space="preserve">C5. A sequenced reform pathway [50](#c5.-a-sequenced-reform-pathway)</w:t>
        </w:r>
      </w:hyperlink>
    </w:p>
    <w:p>
      <w:pPr>
        <w:pStyle w:val="BodyText"/>
      </w:pPr>
      <w:hyperlink w:anchor="c6.-conclusion-of-part-c">
        <w:r>
          <w:rPr>
            <w:rStyle w:val="Hyperlink"/>
          </w:rPr>
          <w:t xml:space="preserve">C6. Conclusion of Part C [52](#c6.-conclusion-of-part-c)</w:t>
        </w:r>
      </w:hyperlink>
    </w:p>
    <w:p>
      <w:pPr>
        <w:pStyle w:val="BodyText"/>
      </w:pPr>
      <w:hyperlink w:anchor="next-steps">
        <w:r>
          <w:rPr>
            <w:rStyle w:val="Hyperlink"/>
          </w:rPr>
          <w:t xml:space="preserve">Next steps [54](#next-steps)</w:t>
        </w:r>
      </w:hyperlink>
    </w:p>
    <w:p>
      <w:pPr>
        <w:pStyle w:val="BodyText"/>
      </w:pPr>
      <w:hyperlink w:anchor="start-with-a-simplified-part-a">
        <w:r>
          <w:rPr>
            <w:rStyle w:val="Hyperlink"/>
          </w:rPr>
          <w:t xml:space="preserve">Start with a simplified Part A [54](#start-with-a-simplified-part-a)</w:t>
        </w:r>
      </w:hyperlink>
    </w:p>
    <w:p>
      <w:pPr>
        <w:pStyle w:val="BodyText"/>
      </w:pPr>
      <w:hyperlink w:anchor="X0849875033287516ca30716d13cbbc3efb376e9">
        <w:r>
          <w:rPr>
            <w:rStyle w:val="Hyperlink"/>
          </w:rPr>
          <w:t xml:space="preserve">Part B requires deeper integration with existing processes [54](#part-b-requires-deeper-integration-with-existing-processes)</w:t>
        </w:r>
      </w:hyperlink>
    </w:p>
    <w:p>
      <w:pPr>
        <w:pStyle w:val="BodyText"/>
      </w:pPr>
      <w:hyperlink w:anchor="appendix-a.-the-full-diagnostics">
        <w:r>
          <w:rPr>
            <w:rStyle w:val="Hyperlink"/>
          </w:rPr>
          <w:t xml:space="preserve">Appendix A. The full diagnostics [56](#appendix-a.-the-full-diagnostics)</w:t>
        </w:r>
      </w:hyperlink>
    </w:p>
    <w:p>
      <w:pPr>
        <w:pStyle w:val="BodyText"/>
      </w:pPr>
      <w:hyperlink w:anchor="X80932bbc0ea83b96e1f49379ba062e8fbdba868">
        <w:r>
          <w:rPr>
            <w:rStyle w:val="Hyperlink"/>
          </w:rPr>
          <w:t xml:space="preserve">A.1 Uganda — Excise Duty Act, 2014 as amended through the Excise Duty (Amendment) Acts, 2025 [56](#a.1-uganda-excise-duty-act-2014-as-amended-through-the-excise-duty-amendment-acts-2025)</w:t>
        </w:r>
      </w:hyperlink>
    </w:p>
    <w:p>
      <w:pPr>
        <w:pStyle w:val="BodyText"/>
      </w:pPr>
      <w:hyperlink w:anchor="X703b17a46a6f8aba558ef61e3d6f776eff8170f">
        <w:r>
          <w:rPr>
            <w:rStyle w:val="Hyperlink"/>
          </w:rPr>
          <w:t xml:space="preserve">A.2 Sierra Leone — Excise Act, 1982 as amended through the Finance Act, 2026 [60](#a.2-sierra-leone-excise-act-1982-as-amended-through-the-finance-act-2026)</w:t>
        </w:r>
      </w:hyperlink>
    </w:p>
    <w:p>
      <w:pPr>
        <w:pStyle w:val="BodyText"/>
      </w:pPr>
      <w:hyperlink w:anchor="appendix-b.-recent-changes-year-by-year">
        <w:r>
          <w:rPr>
            <w:rStyle w:val="Hyperlink"/>
          </w:rPr>
          <w:t xml:space="preserve">Appendix B. Recent changes, year by year [65](#appendix-b.-recent-changes-year-by-year)</w:t>
        </w:r>
      </w:hyperlink>
    </w:p>
    <w:p>
      <w:pPr>
        <w:pStyle w:val="BodyText"/>
      </w:pPr>
      <w:hyperlink w:anchor="b.1-uganda">
        <w:r>
          <w:rPr>
            <w:rStyle w:val="Hyperlink"/>
          </w:rPr>
          <w:t xml:space="preserve">B.1 Uganda [65](#b.1-uganda)</w:t>
        </w:r>
      </w:hyperlink>
    </w:p>
    <w:p>
      <w:pPr>
        <w:pStyle w:val="BodyText"/>
      </w:pPr>
      <w:hyperlink w:anchor="b.2-sierra-leone">
        <w:r>
          <w:rPr>
            <w:rStyle w:val="Hyperlink"/>
          </w:rPr>
          <w:t xml:space="preserve">B.2 Sierra Leone [67](#b.2-sierra-leone)</w:t>
        </w:r>
      </w:hyperlink>
    </w:p>
    <w:p>
      <w:pPr>
        <w:pStyle w:val="BodyText"/>
      </w:pPr>
      <w:hyperlink w:anchor="appendix-c.-references">
        <w:r>
          <w:rPr>
            <w:rStyle w:val="Hyperlink"/>
          </w:rPr>
          <w:t xml:space="preserve">Appendix C. References [70](#appendix-c.-references)</w:t>
        </w:r>
      </w:hyperlink>
    </w:p>
    <w:p>
      <w:pPr>
        <w:pStyle w:val="BodyText"/>
      </w:pPr>
      <w:hyperlink w:anchor="Xe321c7ae70a858a85e35db33892b13166cf6a75">
        <w:r>
          <w:rPr>
            <w:rStyle w:val="Hyperlink"/>
          </w:rPr>
          <w:t xml:space="preserve">Appendix D. Climate–health tax questions and capacities [72](#appendix-d.-climatehealth-tax-questions-and-capacities)</w:t>
        </w:r>
      </w:hyperlink>
    </w:p>
    <w:p>
      <w:pPr>
        <w:pStyle w:val="BodyText"/>
      </w:pPr>
      <w:hyperlink w:anchor="X4b20159feb49302c64498aecde11308f372eeb9">
        <w:r>
          <w:rPr>
            <w:rStyle w:val="Hyperlink"/>
          </w:rPr>
          <w:t xml:space="preserve">Appendix E: Original Claude Prompts (Using Claude Opus 4.7) [75](#appendix-e-original-claude-prompts-using-claude-opus-4.7)</w:t>
        </w:r>
      </w:hyperlink>
    </w:p>
    <w:bookmarkEnd w:id="10"/>
    <w:bookmarkStart w:id="21" w:name="executive-summary"/>
    <w:p>
      <w:pPr>
        <w:pStyle w:val="Heading1"/>
      </w:pPr>
      <w:r>
        <w:t xml:space="preserve">Executive Summary</w:t>
      </w:r>
    </w:p>
    <w:p>
      <w:pPr>
        <w:pStyle w:val="FirstParagraph"/>
      </w:pPr>
      <w:r>
        <w:t xml:space="preserve">Finance ministries in low- and middle-income countries make excise and fuel-tax decisions on revenue and political grounds. Externality reasoning, when it appears at all, is brought in late and selectively. The analytical tools to do the job exist — excise schedules, CPAT, the Climate and Health Program, IMF Getting Energy Prices Right, country-level cost-benefit appraisal — but they sit in different silos and produce outputs at the wrong unit of analysis. No single product brings the parts together for a country team to use.</w:t>
      </w:r>
    </w:p>
    <w:p>
      <w:pPr>
        <w:pStyle w:val="BodyText"/>
      </w:pPr>
      <w:r>
        <w:t xml:space="preserve">This paper proposes a recurring institutional product — an Excise-Externality-Pathways Diagnostic — built in three parts. It is not a new model and does not require new modelling capacity. It is a synthesis layer, and its headline output is a fiscal one: what excises raise now, what better design could raise, and the social costs that revenue also addresses.</w:t>
      </w:r>
    </w:p>
    <w:bookmarkStart w:id="11" w:name="purpose-and-the-fiscal-bottom-line"/>
    <w:p>
      <w:pPr>
        <w:pStyle w:val="Heading2"/>
      </w:pPr>
      <w:r>
        <w:t xml:space="preserve">Purpose and the fiscal bottom line</w:t>
      </w:r>
    </w:p>
    <w:p>
      <w:pPr>
        <w:pStyle w:val="FirstParagraph"/>
      </w:pPr>
      <w:r>
        <w:t xml:space="preserve">The purpose of the diagnostic is to give a finance ministry a single, unified reading of its excise taxes — what they raise now, what they could raise under better design, and the social costs they do or do not address. Excise taxes play a corrective role: well-designed, they reduce economic distortions, sharpen price signals,</w:t>
      </w:r>
      <w:r>
        <w:t xml:space="preserve"> </w:t>
      </w:r>
      <w:r>
        <w:rPr>
          <w:b/>
          <w:bCs/>
        </w:rPr>
        <w:t xml:space="preserve">expand fiscal space and mobilise additional public revenue</w:t>
      </w:r>
      <w:r>
        <w:t xml:space="preserve">. The diagnostic is built to make that revenue case explicit. For every priority line it estimates both</w:t>
      </w:r>
      <w:r>
        <w:t xml:space="preserve"> </w:t>
      </w:r>
      <w:r>
        <w:rPr>
          <w:b/>
          <w:bCs/>
        </w:rPr>
        <w:t xml:space="preserve">current revenue performance</w:t>
      </w:r>
      <w:r>
        <w:t xml:space="preserve"> </w:t>
      </w:r>
      <w:r>
        <w:t xml:space="preserve">and the</w:t>
      </w:r>
      <w:r>
        <w:t xml:space="preserve"> </w:t>
      </w:r>
      <w:r>
        <w:rPr>
          <w:b/>
          <w:bCs/>
        </w:rPr>
        <w:t xml:space="preserve">additional revenue potential</w:t>
      </w:r>
      <w:r>
        <w:t xml:space="preserve"> </w:t>
      </w:r>
      <w:r>
        <w:t xml:space="preserve">that improved design would unlock — so that the headline output a minister reads is a fiscal one: how much revenue a simple, efficient excise system can mobilise while also tackling social costs.</w:t>
      </w:r>
    </w:p>
    <w:p>
      <w:pPr>
        <w:pStyle w:val="BodyText"/>
      </w:pPr>
      <w:r>
        <w:t xml:space="preserve">Framed this way, the three parts answer one fiscal question in sequence.</w:t>
      </w:r>
      <w:r>
        <w:t xml:space="preserve"> </w:t>
      </w:r>
      <w:r>
        <w:rPr>
          <w:b/>
          <w:bCs/>
        </w:rPr>
        <w:t xml:space="preserve">Part A</w:t>
      </w:r>
      <w:r>
        <w:t xml:space="preserve"> </w:t>
      </w:r>
      <w:r>
        <w:t xml:space="preserve">measures the revenue each line raises today and where erosion, gaps and anomalies are leaking it.</w:t>
      </w:r>
      <w:r>
        <w:t xml:space="preserve"> </w:t>
      </w:r>
      <w:r>
        <w:rPr>
          <w:b/>
          <w:bCs/>
        </w:rPr>
        <w:t xml:space="preserve">Part B</w:t>
      </w:r>
      <w:r>
        <w:t xml:space="preserve"> </w:t>
      </w:r>
      <w:r>
        <w:t xml:space="preserve">quantifies the revenue left on the table where externalities are underpriced — the implicit subsidy — and what closing the gap would yield.</w:t>
      </w:r>
      <w:r>
        <w:t xml:space="preserve"> </w:t>
      </w:r>
      <w:r>
        <w:rPr>
          <w:b/>
          <w:bCs/>
        </w:rPr>
        <w:t xml:space="preserve">Part C</w:t>
      </w:r>
      <w:r>
        <w:t xml:space="preserve"> </w:t>
      </w:r>
      <w:r>
        <w:t xml:space="preserve">converts those numbers into a sequenced reform calendar with a revenue trajectory a ministry can budget against. The social-cost case (health, climate, road safety) is real and is carried throughout, but the bottom line presented to decision-makers is fiscal: revenue mobilised, fiscal space created, and the cost of leaving the status quo in place.</w:t>
      </w:r>
    </w:p>
    <w:p>
      <w:pPr>
        <w:pStyle w:val="BodyText"/>
      </w:pPr>
      <w:r>
        <w:rPr>
          <w:b/>
          <w:bCs/>
        </w:rPr>
        <w:t xml:space="preserve">Scope and use.</w:t>
      </w:r>
      <w:r>
        <w:t xml:space="preserve"> </w:t>
      </w:r>
      <w:r>
        <w:t xml:space="preserve">The diagnostic covers all excises but concentrates analysis on six revenue-and-externality priority categories — fuel, vehicle, tobacco, alcohol, sugar-sweetened beverages and gambling. It is an automated, three-part report: Part A is already developed and demonstrated on two pilots, and the whole is designed to be tailored by country teams to the Public Finance Review (PFR) and country context. Beyond the written report, it</w:t>
      </w:r>
      <w:r>
        <w:t xml:space="preserve"> </w:t>
      </w:r>
      <w:r>
        <w:rPr>
          <w:b/>
          <w:bCs/>
        </w:rPr>
        <w:t xml:space="preserve">feeds the PFR Visualization tool with standardised data</w:t>
      </w:r>
      <w:r>
        <w:t xml:space="preserve">, so the same harmonised measures support both the narrative a minister reads and the dashboards a country team maintains.</w:t>
      </w:r>
    </w:p>
    <w:bookmarkEnd w:id="11"/>
    <w:bookmarkStart w:id="12" w:name="the-three-parts"/>
    <w:p>
      <w:pPr>
        <w:pStyle w:val="Heading2"/>
      </w:pPr>
      <w:r>
        <w:t xml:space="preserve">The three parts</w:t>
      </w:r>
    </w:p>
    <w:p>
      <w:pPr>
        <w:pStyle w:val="FirstParagraph"/>
      </w:pPr>
      <w:r>
        <w:rPr>
          <w:b/>
          <w:bCs/>
        </w:rPr>
        <w:t xml:space="preserve">Part A — Excise Diagnostic.</w:t>
      </w:r>
      <w:r>
        <w:t xml:space="preserve"> </w:t>
      </w:r>
      <w:r>
        <w:t xml:space="preserve">A structured reading of a country’s excise schedule. Every line is categorised against a small typology (energy and environment; health — tobacco, alcohol, sugar-sweetened beverages; luxury; telecommunications and digital; financial transactions; industrial-input residuals; resource and extractive), recorded on five fields (item, current rate, structure, differentiation, recent changes), and scaled on three comparable measures: excise per standardised physical unit in US dollars; excise as a share of consumer price; and implied excise revenue as a share of GDP. The three measures are complementary — $/unit is best for international comparison, % of consumer price for domestic policy debate, % of GDP for macro-fiscal framing — and together they triangulate the policy intensity of each line. The diagnostic is pre-analytical: it surfaces erosion, gaps and incoherence; it does not adjudicate whether rates are too high or too low.</w:t>
      </w:r>
    </w:p>
    <w:p>
      <w:pPr>
        <w:pStyle w:val="BodyText"/>
      </w:pPr>
      <w:r>
        <w:rPr>
          <w:b/>
          <w:bCs/>
        </w:rPr>
        <w:t xml:space="preserve">Part B — Health and Climate Externality Diagnostic.</w:t>
      </w:r>
      <w:r>
        <w:t xml:space="preserve"> </w:t>
      </w:r>
      <w:r>
        <w:t xml:space="preserve">A standardised seven-section assessment of how well the tax system handles transport-sector externalities — carbon emissions, local air pollution, road accidents, congestion, and road damage. The diagnostic takes outputs from CPAT and from the World Bank Climate and Health Program as inputs, applies a standardised valuation spine (a single value of statistical life, a single carbon shadow price, a single set of accident-cost parameters), and produces a country report with a fixed structure. Two tiers are proposed — a fuller version for capable LMICs and UMICs and a streamlined version for LICs — sharing a common spine. Part B also answers a sub-question the Part A approach cannot reach: what is the biggest externality not currently priced by the tax system?</w:t>
      </w:r>
    </w:p>
    <w:p>
      <w:pPr>
        <w:pStyle w:val="BodyText"/>
      </w:pPr>
      <w:r>
        <w:rPr>
          <w:b/>
          <w:bCs/>
        </w:rPr>
        <w:t xml:space="preserve">Part C — Policy Pathways.</w:t>
      </w:r>
      <w:r>
        <w:t xml:space="preserve"> </w:t>
      </w:r>
      <w:r>
        <w:t xml:space="preserve">A sequenced, country-specific reform pathway drawing on (i) the structural anomalies, gaps and erosion patterns surfaced by Part A; (ii) the externality-gap and incidence findings from Part B; (iii) international benchmarks and IMF Getting Energy Prices Right comparators; (iv) comparator-country success stories; and (v) a narrative political-economy analysis identifying which reforms are politically tractable, in what sequence, and with what compensation design. Part C does not duplicate the substantive findings of A and B; it draws them together and converts them into an actionable reform calendar.</w:t>
      </w:r>
    </w:p>
    <w:bookmarkEnd w:id="12"/>
    <w:bookmarkStart w:id="13" w:name="Xcdfdaef606b8f453d2200e5827f0ec9d5703d46"/>
    <w:p>
      <w:pPr>
        <w:pStyle w:val="Heading2"/>
      </w:pPr>
      <w:r>
        <w:t xml:space="preserve">What Part A finds in the two pilot diagnostics</w:t>
      </w:r>
    </w:p>
    <w:p>
      <w:pPr>
        <w:pStyle w:val="FirstParagraph"/>
      </w:pPr>
      <w:r>
        <w:t xml:space="preserve">Worked diagnostics for Uganda (Excise Duty Act, 2014 as amended through 1 July 2025) and Sierra Leone (Excise Act, 1982 as amended through the Finance Act, 2026, effective 1 January 2026) demonstrate the framework. Aggregate priority-sector excise — energy, tobacco, alcohol and sugar-sweetened beverages combined — raises approximately 1.5 to 1.7 per cent of GDP in Uganda against 0.7 to 0.9 per cent in Sierra Leone. The gap is largely accounted for by fuel (about 1.3 per cent of GDP against 0.6 per cent). On rate intensity, Uganda runs roughly twice Sierra Leone on every priority measure: petrol excise at 30 per cent of pump price against 18 per cent; tobacco at 30 to 55 per cent of pack price against 10 to 15 per cent; beer at approximately USD 11 per litre of pure alcohol against approximately USD 7. Both countries sit well below international peers, with Sierra Leone further below.</w:t>
      </w:r>
    </w:p>
    <w:p>
      <w:pPr>
        <w:pStyle w:val="BodyText"/>
      </w:pPr>
      <w:r>
        <w:t xml:space="preserve">Three anomalies emerge from the diagnostic that are invisible on the schedule itself. First, the Sierra Leonean wine schedule has not been redenominated since the 2022 Old Leone / New Leone conversion at 1,000 to 1; at face value wine is currently untaxed by excise at approximately USD 0.0002 per litre. This is almost certainly a drafting issue rather than an intended policy choice. Second, the Ugandan kerosene rate at UGX 200 per litre has been unchanged since 2018 and now stands at under 5 per cent of pump price. Third, both countries’ specific rates show a clear erosion-and-restoration cycle visible only when the year-by-year trajectory is laid out — indexation is the obvious structural fix.</w:t>
      </w:r>
    </w:p>
    <w:bookmarkEnd w:id="13"/>
    <w:bookmarkStart w:id="14" w:name="what-part-b-contributes-beyond-part-a"/>
    <w:p>
      <w:pPr>
        <w:pStyle w:val="Heading2"/>
      </w:pPr>
      <w:r>
        <w:t xml:space="preserve">What Part B contributes beyond Part A</w:t>
      </w:r>
    </w:p>
    <w:p>
      <w:pPr>
        <w:pStyle w:val="FirstParagraph"/>
      </w:pPr>
      <w:r>
        <w:t xml:space="preserve">Part A’s by-instrument approach answers the question “is this line set correctly?”. It cannot answer “does the tax system as a whole deal with the externalities that matter?”. Part B does. Applied in a Tier 2 worked example for a stylised East African LIC, the diagnostic finds implicit subsidies — the undercharging of external costs — of approximately USD 410 million annually, exceeding direct fuel-tax revenue of USD 320 million. The largest implicit-subsidy components are local air pollution (43 per cent) and accidents (31 per cent). Diesel is substantially undertaxed; gasoline is roughly correctly taxed. This is a familiar pattern in developing-country settings.</w:t>
      </w:r>
    </w:p>
    <w:p>
      <w:pPr>
        <w:pStyle w:val="BodyText"/>
      </w:pPr>
      <w:r>
        <w:t xml:space="preserve">Closing two-thirds of the diesel gap over three years would raise approximately USD 230 million annually — increasing total fuel-tax revenue by 70 per cent and approaching 1 per cent of GDP — with implicit-subsidy welfare gains larger still, because avoided health and accident costs accrue independently of revenue. With 30 per cent of the new revenue recycled into a flat per-household transfer, the bottom quintile is better off in net terms. Pedestrian fatalities account for nearly half of road deaths in the worked example; the accident externality is therefore a larger component of the total in LICs than in OECD applications, a structural finding that translates directly across countries.</w:t>
      </w:r>
    </w:p>
    <w:bookmarkEnd w:id="14"/>
    <w:bookmarkStart w:id="15" w:name="what-part-c-does-with-the-findings"/>
    <w:p>
      <w:pPr>
        <w:pStyle w:val="Heading2"/>
      </w:pPr>
      <w:r>
        <w:t xml:space="preserve">What Part C does with the findings</w:t>
      </w:r>
    </w:p>
    <w:p>
      <w:pPr>
        <w:pStyle w:val="FirstParagraph"/>
      </w:pPr>
      <w:r>
        <w:t xml:space="preserve">Part C draws Parts A and B together into a sequenced reform pathway. It does not generate new findings. It does three things the underlying diagnostics cannot.</w:t>
      </w:r>
    </w:p>
    <w:p>
      <w:pPr>
        <w:pStyle w:val="BodyText"/>
      </w:pPr>
      <w:r>
        <w:rPr>
          <w:b/>
          <w:bCs/>
        </w:rPr>
        <w:t xml:space="preserve">Sequencing.</w:t>
      </w:r>
      <w:r>
        <w:t xml:space="preserve"> </w:t>
      </w:r>
      <w:r>
        <w:t xml:space="preserve">Parts A and B both produce lists of policy candidates. They do not say which comes first. Part C sequences candidates by political tractability, fiscal yield, and administrative readiness — typically a three-year package with one anchor reform per year. The Tier 2 worked example sequences a USD 0.50 per litre diesel-tax closure over three steps, with the per-household transfer institutionalised in year two and a heavy-goods-vehicle distance charge scoped in year three.</w:t>
      </w:r>
    </w:p>
    <w:p>
      <w:pPr>
        <w:pStyle w:val="BodyText"/>
      </w:pPr>
      <w:r>
        <w:rPr>
          <w:b/>
          <w:bCs/>
        </w:rPr>
        <w:t xml:space="preserve">Comparator referencing.</w:t>
      </w:r>
      <w:r>
        <w:t xml:space="preserve"> </w:t>
      </w:r>
      <w:r>
        <w:t xml:space="preserve">Reform proposals carry more political weight when grounded in comparable experience. Rwanda, Ghana and Kenya have all raised diesel tax over the past decade in steps without macroeconomic disruption, particularly where reform was sequenced with targeted social protection. South Africa has the most developed legislative carbon-pricing architecture among middle-income countries. Chile, Colombia, Mexico and Brazil have institutionalised carbon components on fuels. Country teams need these references at hand when drafting reform proposals; Part C provides them.</w:t>
      </w:r>
    </w:p>
    <w:p>
      <w:pPr>
        <w:pStyle w:val="BodyText"/>
      </w:pPr>
      <w:r>
        <w:rPr>
          <w:b/>
          <w:bCs/>
        </w:rPr>
        <w:t xml:space="preserve">Political-economy analysis.</w:t>
      </w:r>
      <w:r>
        <w:t xml:space="preserve"> </w:t>
      </w:r>
      <w:r>
        <w:t xml:space="preserve">Reform proposals that survive contact with politics share recognisable features. In low- and middle-income countries with low per-capita motorisation and high pedestrian-fatality shares, the health and road-safety justification for fuel-tax reform polls substantially better than the climate justification. Local-content discounts in alcohol regimes produce rate inversions that create political winners and losers; redenomination anomalies persist because nobody loses from their persistence; tobacco rates are easier to raise in countries with low domestic production. Part C reads these dynamics from the schedule itself and proposes the sequencing that follows.</w:t>
      </w:r>
    </w:p>
    <w:bookmarkEnd w:id="15"/>
    <w:bookmarkStart w:id="16" w:name="X91a8fe5567ae12a6264f4542c86205d77144394"/>
    <w:p>
      <w:pPr>
        <w:pStyle w:val="Heading2"/>
      </w:pPr>
      <w:r>
        <w:t xml:space="preserve">The reform priorities the diagnostic identifies</w:t>
      </w:r>
    </w:p>
    <w:p>
      <w:pPr>
        <w:pStyle w:val="FirstParagraph"/>
      </w:pPr>
      <w:r>
        <w:t xml:space="preserve">Six reform priorities emerge from the combined diagnostic. They are listed in approximate order of political tractability rather than fiscal yield.</w:t>
      </w:r>
    </w:p>
    <w:tbl>
      <w:tblPr>
        <w:tblStyle w:val="Table"/>
        <w:tblW w:type="pct" w:w="4977"/>
        <w:tblLayout w:type="fixed"/>
        <w:tblLook w:firstRow="1" w:lastRow="0" w:firstColumn="0" w:lastColumn="0" w:noHBand="0" w:noVBand="0" w:val="0020"/>
      </w:tblPr>
      <w:tblGrid>
        <w:gridCol w:w="926"/>
        <w:gridCol w:w="5122"/>
        <w:gridCol w:w="1834"/>
      </w:tblGrid>
      <w:tr>
        <w:trPr>
          <w:tblHeader w:val="on"/>
        </w:trPr>
        <w:tc>
          <w:tcPr/>
          <w:p>
            <w:pPr>
              <w:pStyle w:val="Compact"/>
              <w:jc w:val="left"/>
            </w:pPr>
            <w:r>
              <w:rPr>
                <w:b/>
                <w:bCs/>
              </w:rPr>
              <w:t xml:space="preserve">Reform</w:t>
            </w:r>
          </w:p>
        </w:tc>
        <w:tc>
          <w:tcPr/>
          <w:p>
            <w:pPr>
              <w:pStyle w:val="Compact"/>
              <w:jc w:val="left"/>
            </w:pPr>
            <w:r>
              <w:rPr>
                <w:b/>
                <w:bCs/>
              </w:rPr>
              <w:t xml:space="preserve">Rationale</w:t>
            </w:r>
          </w:p>
        </w:tc>
        <w:tc>
          <w:tcPr/>
          <w:p>
            <w:pPr>
              <w:pStyle w:val="Compact"/>
              <w:jc w:val="left"/>
            </w:pPr>
            <w:r>
              <w:rPr>
                <w:b/>
                <w:bCs/>
              </w:rPr>
              <w:t xml:space="preserve">Fiscal yield</w:t>
            </w:r>
          </w:p>
        </w:tc>
      </w:tr>
      <w:tr>
        <w:tc>
          <w:tcPr/>
          <w:p>
            <w:pPr>
              <w:pStyle w:val="Compact"/>
              <w:jc w:val="left"/>
            </w:pPr>
            <w:r>
              <w:rPr>
                <w:b/>
                <w:bCs/>
              </w:rPr>
              <w:t xml:space="preserve">Redenomination of wine excise (Sierra Leone)</w:t>
            </w:r>
          </w:p>
        </w:tc>
        <w:tc>
          <w:tcPr/>
          <w:p>
            <w:pPr>
              <w:pStyle w:val="Compact"/>
              <w:jc w:val="left"/>
            </w:pPr>
            <w:r>
              <w:t xml:space="preserve">FA2024 rates in Old Leones produce essentially zero excise after the 2022 redenomination. One-line schedule amendment in the next Finance Act. No constituency benefits from the anomaly.</w:t>
            </w:r>
          </w:p>
        </w:tc>
        <w:tc>
          <w:tcPr/>
          <w:p>
            <w:pPr>
              <w:pStyle w:val="Compact"/>
              <w:jc w:val="left"/>
            </w:pPr>
            <w:r>
              <w:t xml:space="preserve">Small. Wine consumption is low in Sierra Leone.</w:t>
            </w:r>
          </w:p>
        </w:tc>
      </w:tr>
      <w:tr>
        <w:tc>
          <w:tcPr/>
          <w:p>
            <w:pPr>
              <w:pStyle w:val="Compact"/>
              <w:jc w:val="left"/>
            </w:pPr>
            <w:r>
              <w:rPr>
                <w:b/>
                <w:bCs/>
              </w:rPr>
              <w:t xml:space="preserve">Indexation of specific rates</w:t>
            </w:r>
          </w:p>
        </w:tc>
        <w:tc>
          <w:tcPr/>
          <w:p>
            <w:pPr>
              <w:pStyle w:val="Compact"/>
              <w:jc w:val="left"/>
            </w:pPr>
            <w:r>
              <w:t xml:space="preserve">Both countries show clear erosion-and-restoration cycles. Indexation removes the political cost of restoration without losing real revenue. Standard reform.</w:t>
            </w:r>
          </w:p>
        </w:tc>
        <w:tc>
          <w:tcPr/>
          <w:p>
            <w:pPr>
              <w:pStyle w:val="Compact"/>
              <w:jc w:val="left"/>
            </w:pPr>
            <w:r>
              <w:t xml:space="preserve">Material over time. Recovers the real value that drifts away between Finance Acts.</w:t>
            </w:r>
          </w:p>
        </w:tc>
      </w:tr>
      <w:tr>
        <w:tc>
          <w:tcPr/>
          <w:p>
            <w:pPr>
              <w:pStyle w:val="Compact"/>
              <w:jc w:val="left"/>
            </w:pPr>
            <w:r>
              <w:rPr>
                <w:b/>
                <w:bCs/>
              </w:rPr>
              <w:t xml:space="preserve">Sugar-content-graduated SSB excise</w:t>
            </w:r>
          </w:p>
        </w:tc>
        <w:tc>
          <w:tcPr/>
          <w:p>
            <w:pPr>
              <w:pStyle w:val="Compact"/>
              <w:jc w:val="left"/>
            </w:pPr>
            <w:r>
              <w:t xml:space="preserve">Both countries are well below international peers on SSB taxation. UK and South Africa have demonstrated sugar-content differentiation can be designed and implemented. Strong public-health evidence.</w:t>
            </w:r>
          </w:p>
        </w:tc>
        <w:tc>
          <w:tcPr/>
          <w:p>
            <w:pPr>
              <w:pStyle w:val="Compact"/>
              <w:jc w:val="left"/>
            </w:pPr>
            <w:r>
              <w:t xml:space="preserve">Moderate. Material in Uganda; smaller base in Sierra Leone.</w:t>
            </w:r>
          </w:p>
        </w:tc>
      </w:tr>
      <w:tr>
        <w:tc>
          <w:tcPr/>
          <w:p>
            <w:pPr>
              <w:pStyle w:val="Compact"/>
              <w:jc w:val="left"/>
            </w:pPr>
            <w:r>
              <w:rPr>
                <w:b/>
                <w:bCs/>
              </w:rPr>
              <w:t xml:space="preserve">Tobacco rate convergence</w:t>
            </w:r>
          </w:p>
        </w:tc>
        <w:tc>
          <w:tcPr/>
          <w:p>
            <w:pPr>
              <w:pStyle w:val="Compact"/>
              <w:jc w:val="left"/>
            </w:pPr>
            <w:r>
              <w:t xml:space="preserve">Both countries sit well below the WHO benchmark of 75 per cent of retail price as excise. Sierra Leone in particular has substantial headroom — a phased path of perhaps three Finance Acts at +30 per cent each would lift the country toward Uganda’s lowest tier without disruption.</w:t>
            </w:r>
          </w:p>
        </w:tc>
        <w:tc>
          <w:tcPr/>
          <w:p>
            <w:pPr>
              <w:pStyle w:val="Compact"/>
              <w:jc w:val="left"/>
            </w:pPr>
            <w:r>
              <w:t xml:space="preserve">Moderate. Tobacco bases are small in both countries (smoking prevalence 4 to 5 per cent).</w:t>
            </w:r>
          </w:p>
        </w:tc>
      </w:tr>
      <w:tr>
        <w:tc>
          <w:tcPr/>
          <w:p>
            <w:pPr>
              <w:pStyle w:val="Compact"/>
              <w:jc w:val="left"/>
            </w:pPr>
            <w:r>
              <w:rPr>
                <w:b/>
                <w:bCs/>
              </w:rPr>
              <w:t xml:space="preserve">Diesel-tax closure of the externality gap</w:t>
            </w:r>
          </w:p>
        </w:tc>
        <w:tc>
          <w:tcPr/>
          <w:p>
            <w:pPr>
              <w:pStyle w:val="Compact"/>
              <w:jc w:val="left"/>
            </w:pPr>
            <w:r>
              <w:t xml:space="preserve">Part B’s central finding. Diesel is substantially undertaxed for air pollution and accidents. The fiscal-and-health argument is strong. Sequence with a flat per-household transfer to neutralise the regressivity.</w:t>
            </w:r>
          </w:p>
        </w:tc>
        <w:tc>
          <w:tcPr/>
          <w:p>
            <w:pPr>
              <w:pStyle w:val="Compact"/>
              <w:jc w:val="left"/>
            </w:pPr>
            <w:r>
              <w:t xml:space="preserve">Large. The diesel-gap closure in the Tier 2 worked example raises approximately 1 per cent of GDP.</w:t>
            </w:r>
          </w:p>
        </w:tc>
      </w:tr>
      <w:tr>
        <w:tc>
          <w:tcPr/>
          <w:p>
            <w:pPr>
              <w:pStyle w:val="Compact"/>
              <w:jc w:val="left"/>
            </w:pPr>
            <w:r>
              <w:rPr>
                <w:b/>
                <w:bCs/>
              </w:rPr>
              <w:t xml:space="preserve">Vehicle taxation reform</w:t>
            </w:r>
          </w:p>
        </w:tc>
        <w:tc>
          <w:tcPr/>
          <w:p>
            <w:pPr>
              <w:pStyle w:val="Compact"/>
              <w:jc w:val="left"/>
            </w:pPr>
            <w:r>
              <w:t xml:space="preserve">Vehicle taxation is structurally weak in both countries. Annual circulation levies are small or absent. Emissions-and-weight-graduated feebates address fleet composition without a Gruenspecht effect.</w:t>
            </w:r>
          </w:p>
        </w:tc>
        <w:tc>
          <w:tcPr/>
          <w:p>
            <w:pPr>
              <w:pStyle w:val="Compact"/>
              <w:jc w:val="left"/>
            </w:pPr>
            <w:r>
              <w:t xml:space="preserve">Small at first; grows as the vehicle fleet expands.</w:t>
            </w:r>
          </w:p>
        </w:tc>
      </w:tr>
    </w:tbl>
    <w:bookmarkEnd w:id="16"/>
    <w:bookmarkStart w:id="17" w:name="how-the-diagnostic-maps-to-the-pfr"/>
    <w:p>
      <w:pPr>
        <w:pStyle w:val="Heading2"/>
      </w:pPr>
      <w:r>
        <w:t xml:space="preserve">How the diagnostic maps to the PFR</w:t>
      </w:r>
    </w:p>
    <w:p>
      <w:pPr>
        <w:pStyle w:val="FirstParagraph"/>
      </w:pPr>
      <w:r>
        <w:t xml:space="preserve">The diagnostic is designed to slot into the Public Finance Review (PFR) rather than to sit beside it. A generic PFR on excise taxation moves through a recognisable sequence of sections — health impact, identification and analysis of the tax structure, analysis of trends over time, benchmarking, and recommendations — with topics that are either required in every report or case-dependent on a country’s analytical capacity. The table below sets out that generic structure and distinguishes the topics that are always required from those that are added at an intermediate or advanced level of engagement. Part A of this diagnostic supplies the identification, trend and benchmarking rows; Part B supplies the health-impact, externality and distributional rows that the advanced column calls for; Part C supplies the recommendations and policy-simulation rows.</w:t>
      </w:r>
    </w:p>
    <w:tbl>
      <w:tblPr>
        <w:tblStyle w:val="Table"/>
        <w:tblW w:type="pct" w:w="4883"/>
        <w:tblLayout w:type="fixed"/>
        <w:tblLook w:firstRow="1" w:lastRow="0" w:firstColumn="0" w:lastColumn="0" w:noHBand="0" w:noVBand="0" w:val="0020"/>
      </w:tblPr>
      <w:tblGrid>
        <w:gridCol w:w="2475"/>
        <w:gridCol w:w="2227"/>
        <w:gridCol w:w="928"/>
        <w:gridCol w:w="1175"/>
        <w:gridCol w:w="928"/>
      </w:tblGrid>
      <w:tr>
        <w:trPr>
          <w:tblHeader w:val="on"/>
        </w:trPr>
        <w:tc>
          <w:tcPr>
            <w:vMerge w:val="restart"/>
          </w:tcPr>
          <w:p>
            <w:pPr>
              <w:pStyle w:val="Compact"/>
            </w:pPr>
            <w:r>
              <w:rPr>
                <w:b/>
                <w:bCs/>
              </w:rPr>
              <w:t xml:space="preserve">Section</w:t>
            </w:r>
          </w:p>
        </w:tc>
        <w:tc>
          <w:tcPr>
            <w:vMerge w:val="restart"/>
          </w:tcPr>
          <w:p>
            <w:pPr>
              <w:pStyle w:val="Compact"/>
            </w:pPr>
            <w:r>
              <w:rPr>
                <w:b/>
                <w:bCs/>
              </w:rPr>
              <w:t xml:space="preserve">Topic</w:t>
            </w:r>
          </w:p>
        </w:tc>
        <w:tc>
          <w:tcPr>
            <w:vMerge w:val="restart"/>
          </w:tcPr>
          <w:p>
            <w:pPr>
              <w:pStyle w:val="Compact"/>
              <w:jc w:val="center"/>
            </w:pPr>
            <w:r>
              <w:rPr>
                <w:b/>
                <w:bCs/>
              </w:rPr>
              <w:t xml:space="preserve">Required</w:t>
            </w:r>
          </w:p>
        </w:tc>
        <w:tc>
          <w:tcPr>
            <w:gridSpan w:val="2"/>
          </w:tcPr>
          <w:p>
            <w:pPr>
              <w:pStyle w:val="Compact"/>
              <w:jc w:val="center"/>
            </w:pPr>
            <w:r>
              <w:rPr>
                <w:b/>
                <w:bCs/>
              </w:rPr>
              <w:t xml:space="preserve">Case-dependent</w:t>
            </w:r>
          </w:p>
        </w:tc>
      </w:tr>
      <w:tr>
        <w:trPr>
          <w:tblHeader w:val="on"/>
        </w:trPr>
        <w:tc>
          <w:tcPr>
            <w:gridSpan w:val="1"/>
            <w:vMerge w:val="continue"/>
          </w:tcPr>
          <w:p>
            <w:pPr/>
          </w:p>
        </w:tc>
        <w:tc>
          <w:tcPr>
            <w:gridSpan w:val="1"/>
            <w:vMerge w:val="continue"/>
          </w:tcPr>
          <w:p>
            <w:pPr/>
          </w:p>
        </w:tc>
        <w:tc>
          <w:tcPr>
            <w:gridSpan w:val="1"/>
            <w:vMerge w:val="continue"/>
          </w:tcPr>
          <w:p>
            <w:pPr/>
          </w:p>
        </w:tc>
        <w:tc>
          <w:tcPr/>
          <w:p>
            <w:pPr>
              <w:pStyle w:val="Compact"/>
              <w:jc w:val="center"/>
            </w:pPr>
            <w:r>
              <w:rPr>
                <w:b/>
                <w:bCs/>
              </w:rPr>
              <w:t xml:space="preserve">Intermediate</w:t>
            </w:r>
          </w:p>
        </w:tc>
        <w:tc>
          <w:tcPr/>
          <w:p>
            <w:pPr>
              <w:pStyle w:val="Compact"/>
              <w:jc w:val="center"/>
            </w:pPr>
            <w:r>
              <w:rPr>
                <w:b/>
                <w:bCs/>
              </w:rPr>
              <w:t xml:space="preserve">Advanced</w:t>
            </w:r>
          </w:p>
        </w:tc>
      </w:tr>
      <w:tr>
        <w:tc>
          <w:tcPr/>
          <w:p>
            <w:pPr>
              <w:pStyle w:val="Compact"/>
            </w:pPr>
            <w:r>
              <w:rPr>
                <w:b/>
                <w:bCs/>
              </w:rPr>
              <w:t xml:space="preserve">Health impact</w:t>
            </w:r>
          </w:p>
        </w:tc>
        <w:tc>
          <w:tcPr/>
          <w:p>
            <w:pPr>
              <w:pStyle w:val="Compact"/>
            </w:pPr>
            <w:r>
              <w:rPr>
                <w:b/>
                <w:bCs/>
              </w:rPr>
              <w:t xml:space="preserve">Burden of disease</w:t>
            </w:r>
          </w:p>
        </w:tc>
        <w:tc>
          <w:tcPr/>
          <w:p>
            <w:pPr>
              <w:pStyle w:val="Compact"/>
            </w:pPr>
          </w:p>
        </w:tc>
        <w:tc>
          <w:tcPr/>
          <w:p>
            <w:pPr>
              <w:pStyle w:val="Compact"/>
              <w:jc w:val="center"/>
            </w:pPr>
            <w:r>
              <w:t xml:space="preserve">Limited</w:t>
            </w:r>
          </w:p>
        </w:tc>
        <w:tc>
          <w:tcPr/>
          <w:p>
            <w:pPr>
              <w:pStyle w:val="Compact"/>
              <w:jc w:val="center"/>
            </w:pPr>
            <w:r>
              <w:t xml:space="preserve">Yes</w:t>
            </w:r>
          </w:p>
        </w:tc>
      </w:tr>
      <w:tr>
        <w:tc>
          <w:tcPr>
            <w:vMerge w:val="restart"/>
          </w:tcPr>
          <w:p>
            <w:pPr>
              <w:pStyle w:val="Compact"/>
            </w:pPr>
            <w:r>
              <w:rPr>
                <w:b/>
                <w:bCs/>
              </w:rPr>
              <w:t xml:space="preserve">Identification of tax structure</w:t>
            </w:r>
          </w:p>
        </w:tc>
        <w:tc>
          <w:tcPr/>
          <w:p>
            <w:pPr>
              <w:pStyle w:val="Compact"/>
            </w:pPr>
            <w:r>
              <w:rPr>
                <w:b/>
                <w:bCs/>
              </w:rPr>
              <w:t xml:space="preserve">Type of taxes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Yes</w:t>
            </w:r>
          </w:p>
        </w:tc>
      </w:tr>
      <w:tr>
        <w:tc>
          <w:tcPr>
            <w:gridSpan w:val="1"/>
            <w:vMerge w:val="continue"/>
          </w:tcPr>
          <w:p>
            <w:pPr/>
          </w:p>
        </w:tc>
        <w:tc>
          <w:tcPr/>
          <w:p>
            <w:pPr>
              <w:pStyle w:val="Compact"/>
            </w:pPr>
            <w:r>
              <w:rPr>
                <w:b/>
                <w:bCs/>
              </w:rPr>
              <w:t xml:space="preserve">Tax base</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Yes</w:t>
            </w:r>
          </w:p>
        </w:tc>
      </w:tr>
      <w:tr>
        <w:tc>
          <w:tcPr>
            <w:gridSpan w:val="1"/>
            <w:vMerge w:val="continue"/>
          </w:tcPr>
          <w:p>
            <w:pPr/>
          </w:p>
        </w:tc>
        <w:tc>
          <w:tcPr/>
          <w:p>
            <w:pPr>
              <w:pStyle w:val="Compact"/>
            </w:pPr>
            <w:r>
              <w:rPr>
                <w:b/>
                <w:bCs/>
              </w:rPr>
              <w:t xml:space="preserve">Scope</w:t>
            </w:r>
          </w:p>
        </w:tc>
        <w:tc>
          <w:tcPr/>
          <w:p>
            <w:pPr>
              <w:pStyle w:val="Compact"/>
            </w:pPr>
          </w:p>
        </w:tc>
        <w:tc>
          <w:tcPr/>
          <w:p>
            <w:pPr>
              <w:pStyle w:val="Compact"/>
              <w:jc w:val="center"/>
            </w:pPr>
            <w:r>
              <w:t xml:space="preserve">Limited*</w:t>
            </w:r>
          </w:p>
        </w:tc>
        <w:tc>
          <w:tcPr/>
          <w:p>
            <w:pPr>
              <w:pStyle w:val="Compact"/>
              <w:jc w:val="center"/>
            </w:pPr>
            <w:r>
              <w:t xml:space="preserve">Yes</w:t>
            </w:r>
          </w:p>
        </w:tc>
      </w:tr>
      <w:tr>
        <w:tc>
          <w:tcPr>
            <w:vMerge w:val="restart"/>
          </w:tcPr>
          <w:p>
            <w:pPr>
              <w:pStyle w:val="Compact"/>
            </w:pPr>
            <w:r>
              <w:rPr>
                <w:b/>
                <w:bCs/>
              </w:rPr>
              <w:t xml:space="preserve">Analysis of tax structure</w:t>
            </w:r>
          </w:p>
        </w:tc>
        <w:tc>
          <w:tcPr/>
          <w:p>
            <w:pPr>
              <w:pStyle w:val="Compact"/>
            </w:pPr>
            <w:r>
              <w:rPr>
                <w:b/>
                <w:bCs/>
              </w:rPr>
              <w:t xml:space="preserve">Impact of taxes on prices</w:t>
            </w:r>
          </w:p>
        </w:tc>
        <w:tc>
          <w:tcPr/>
          <w:p>
            <w:pPr>
              <w:pStyle w:val="Compact"/>
            </w:pPr>
          </w:p>
        </w:tc>
        <w:tc>
          <w:tcPr/>
          <w:p>
            <w:pPr>
              <w:pStyle w:val="Compact"/>
              <w:jc w:val="center"/>
            </w:pPr>
            <w:r>
              <w:t xml:space="preserve">Yes</w:t>
            </w:r>
          </w:p>
        </w:tc>
        <w:tc>
          <w:tcPr/>
          <w:p>
            <w:pPr>
              <w:pStyle w:val="Compact"/>
              <w:jc w:val="center"/>
            </w:pPr>
            <w:r>
              <w:t xml:space="preserve">Yes</w:t>
            </w:r>
          </w:p>
        </w:tc>
      </w:tr>
      <w:tr>
        <w:tc>
          <w:tcPr>
            <w:gridSpan w:val="1"/>
            <w:vMerge w:val="continue"/>
          </w:tcPr>
          <w:p>
            <w:pPr/>
          </w:p>
        </w:tc>
        <w:tc>
          <w:tcPr/>
          <w:p>
            <w:pPr>
              <w:pStyle w:val="Compact"/>
            </w:pPr>
            <w:r>
              <w:rPr>
                <w:b/>
                <w:bCs/>
              </w:rPr>
              <w:t xml:space="preserve">Variation of taxes and prices</w:t>
            </w:r>
          </w:p>
        </w:tc>
        <w:tc>
          <w:tcPr/>
          <w:p>
            <w:pPr>
              <w:pStyle w:val="Compact"/>
            </w:pPr>
          </w:p>
        </w:tc>
        <w:tc>
          <w:tcPr/>
          <w:p>
            <w:pPr>
              <w:pStyle w:val="Compact"/>
            </w:pPr>
          </w:p>
        </w:tc>
        <w:tc>
          <w:tcPr/>
          <w:p>
            <w:pPr>
              <w:pStyle w:val="Compact"/>
              <w:jc w:val="center"/>
            </w:pPr>
            <w:r>
              <w:t xml:space="preserve">Yes</w:t>
            </w:r>
          </w:p>
        </w:tc>
      </w:tr>
      <w:tr>
        <w:tc>
          <w:tcPr>
            <w:vMerge w:val="restart"/>
          </w:tcPr>
          <w:p>
            <w:pPr>
              <w:pStyle w:val="Compact"/>
            </w:pPr>
            <w:r>
              <w:rPr>
                <w:b/>
                <w:bCs/>
              </w:rPr>
              <w:t xml:space="preserve">Analysis of trends over time</w:t>
            </w:r>
          </w:p>
        </w:tc>
        <w:tc>
          <w:tcPr/>
          <w:p>
            <w:pPr>
              <w:pStyle w:val="Compact"/>
            </w:pPr>
            <w:r>
              <w:rPr>
                <w:b/>
                <w:bCs/>
              </w:rPr>
              <w:t xml:space="preserve">Effective taxes</w:t>
            </w:r>
          </w:p>
        </w:tc>
        <w:tc>
          <w:tcPr/>
          <w:p>
            <w:pPr>
              <w:pStyle w:val="Compact"/>
            </w:pPr>
          </w:p>
        </w:tc>
        <w:tc>
          <w:tcPr/>
          <w:p>
            <w:pPr>
              <w:pStyle w:val="Compact"/>
            </w:pPr>
          </w:p>
        </w:tc>
        <w:tc>
          <w:tcPr/>
          <w:p>
            <w:pPr>
              <w:pStyle w:val="Compact"/>
              <w:jc w:val="center"/>
            </w:pPr>
            <w:r>
              <w:t xml:space="preserve">Yes</w:t>
            </w:r>
          </w:p>
        </w:tc>
      </w:tr>
      <w:tr>
        <w:tc>
          <w:tcPr>
            <w:gridSpan w:val="1"/>
            <w:vMerge w:val="continue"/>
          </w:tcPr>
          <w:p>
            <w:pPr/>
          </w:p>
        </w:tc>
        <w:tc>
          <w:tcPr/>
          <w:p>
            <w:pPr>
              <w:pStyle w:val="Compact"/>
            </w:pPr>
            <w:r>
              <w:rPr>
                <w:b/>
                <w:bCs/>
              </w:rPr>
              <w:t xml:space="preserve">Prices and affordability</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Yes</w:t>
            </w:r>
          </w:p>
        </w:tc>
      </w:tr>
      <w:tr>
        <w:tc>
          <w:tcPr>
            <w:gridSpan w:val="1"/>
            <w:vMerge w:val="continue"/>
          </w:tcPr>
          <w:p>
            <w:pPr/>
          </w:p>
        </w:tc>
        <w:tc>
          <w:tcPr/>
          <w:p>
            <w:pPr>
              <w:pStyle w:val="Compact"/>
            </w:pPr>
            <w:r>
              <w:rPr>
                <w:b/>
                <w:bCs/>
              </w:rPr>
              <w:t xml:space="preserve">Consumption</w:t>
            </w:r>
          </w:p>
        </w:tc>
        <w:tc>
          <w:tcPr/>
          <w:p>
            <w:pPr>
              <w:pStyle w:val="Compact"/>
            </w:pPr>
          </w:p>
        </w:tc>
        <w:tc>
          <w:tcPr/>
          <w:p>
            <w:pPr>
              <w:pStyle w:val="Compact"/>
              <w:jc w:val="center"/>
            </w:pPr>
            <w:r>
              <w:t xml:space="preserve">Limited**</w:t>
            </w:r>
          </w:p>
        </w:tc>
        <w:tc>
          <w:tcPr/>
          <w:p>
            <w:pPr>
              <w:pStyle w:val="Compact"/>
              <w:jc w:val="center"/>
            </w:pPr>
            <w:r>
              <w:t xml:space="preserve">Yes</w:t>
            </w:r>
          </w:p>
        </w:tc>
      </w:tr>
      <w:tr>
        <w:tc>
          <w:tcPr>
            <w:gridSpan w:val="1"/>
            <w:vMerge w:val="continue"/>
          </w:tcPr>
          <w:p>
            <w:pPr/>
          </w:p>
        </w:tc>
        <w:tc>
          <w:tcPr/>
          <w:p>
            <w:pPr>
              <w:pStyle w:val="Compact"/>
            </w:pPr>
            <w:r>
              <w:rPr>
                <w:b/>
                <w:bCs/>
              </w:rPr>
              <w:t xml:space="preserve">Tax revenue</w:t>
            </w:r>
          </w:p>
        </w:tc>
        <w:tc>
          <w:tcPr/>
          <w:p>
            <w:pPr>
              <w:pStyle w:val="Compact"/>
            </w:pPr>
          </w:p>
        </w:tc>
        <w:tc>
          <w:tcPr/>
          <w:p>
            <w:pPr>
              <w:pStyle w:val="Compact"/>
              <w:jc w:val="center"/>
            </w:pPr>
            <w:r>
              <w:t xml:space="preserve">Yes</w:t>
            </w:r>
          </w:p>
        </w:tc>
        <w:tc>
          <w:tcPr/>
          <w:p>
            <w:pPr>
              <w:pStyle w:val="Compact"/>
              <w:jc w:val="center"/>
            </w:pPr>
            <w:r>
              <w:t xml:space="preserve">Yes</w:t>
            </w:r>
          </w:p>
        </w:tc>
      </w:tr>
      <w:tr>
        <w:tc>
          <w:tcPr/>
          <w:p>
            <w:pPr>
              <w:pStyle w:val="Compact"/>
            </w:pPr>
            <w:r>
              <w:rPr>
                <w:b/>
                <w:bCs/>
              </w:rPr>
              <w:t xml:space="preserve">Benchmarking</w:t>
            </w:r>
          </w:p>
        </w:tc>
        <w:tc>
          <w:tcPr/>
          <w:p>
            <w:pPr>
              <w:pStyle w:val="Compact"/>
            </w:pPr>
            <w:r>
              <w:rPr>
                <w:b/>
                <w:bCs/>
              </w:rPr>
              <w:t xml:space="preserve">Taxes and prices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Yes</w:t>
            </w:r>
          </w:p>
        </w:tc>
      </w:tr>
      <w:tr>
        <w:tc>
          <w:tcPr>
            <w:vMerge w:val="restart"/>
          </w:tcPr>
          <w:p>
            <w:pPr>
              <w:pStyle w:val="Compact"/>
            </w:pPr>
            <w:r>
              <w:rPr>
                <w:b/>
                <w:bCs/>
              </w:rPr>
              <w:t xml:space="preserve">Recommendations and policy change</w:t>
            </w:r>
          </w:p>
        </w:tc>
        <w:tc>
          <w:tcPr/>
          <w:p>
            <w:pPr>
              <w:pStyle w:val="Compact"/>
            </w:pPr>
            <w:r>
              <w:rPr>
                <w:b/>
                <w:bCs/>
              </w:rPr>
              <w:t xml:space="preserve">Tax structures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Yes</w:t>
            </w:r>
          </w:p>
        </w:tc>
      </w:tr>
      <w:tr>
        <w:tc>
          <w:tcPr>
            <w:gridSpan w:val="1"/>
            <w:vMerge w:val="continue"/>
          </w:tcPr>
          <w:p>
            <w:pPr/>
          </w:p>
        </w:tc>
        <w:tc>
          <w:tcPr/>
          <w:p>
            <w:pPr>
              <w:pStyle w:val="Compact"/>
            </w:pPr>
            <w:r>
              <w:rPr>
                <w:b/>
                <w:bCs/>
              </w:rPr>
              <w:t xml:space="preserve">Tax rates</w:t>
            </w:r>
          </w:p>
        </w:tc>
        <w:tc>
          <w:tcPr/>
          <w:p>
            <w:pPr>
              <w:pStyle w:val="Compact"/>
              <w:jc w:val="center"/>
            </w:pPr>
            <w:r>
              <w:t xml:space="preserve">Limited</w:t>
            </w:r>
          </w:p>
        </w:tc>
        <w:tc>
          <w:tcPr/>
          <w:p>
            <w:pPr>
              <w:pStyle w:val="Compact"/>
              <w:jc w:val="center"/>
            </w:pPr>
            <w:r>
              <w:t xml:space="preserve">Yes</w:t>
            </w:r>
          </w:p>
        </w:tc>
        <w:tc>
          <w:tcPr/>
          <w:p>
            <w:pPr>
              <w:pStyle w:val="Compact"/>
              <w:jc w:val="center"/>
            </w:pPr>
            <w:r>
              <w:t xml:space="preserve">Yes</w:t>
            </w:r>
          </w:p>
        </w:tc>
      </w:tr>
      <w:tr>
        <w:tc>
          <w:tcPr>
            <w:gridSpan w:val="1"/>
            <w:vMerge w:val="continue"/>
          </w:tcPr>
          <w:p>
            <w:pPr/>
          </w:p>
        </w:tc>
        <w:tc>
          <w:tcPr/>
          <w:p>
            <w:pPr>
              <w:pStyle w:val="Compact"/>
            </w:pPr>
            <w:r>
              <w:rPr>
                <w:b/>
                <w:bCs/>
              </w:rPr>
              <w:t xml:space="preserve">Simulation of policy impact</w:t>
            </w:r>
          </w:p>
        </w:tc>
        <w:tc>
          <w:tcPr/>
          <w:p>
            <w:pPr>
              <w:pStyle w:val="Compact"/>
            </w:pPr>
          </w:p>
        </w:tc>
        <w:tc>
          <w:tcPr/>
          <w:p>
            <w:pPr>
              <w:pStyle w:val="Compact"/>
            </w:pPr>
          </w:p>
        </w:tc>
        <w:tc>
          <w:tcPr/>
          <w:p>
            <w:pPr>
              <w:pStyle w:val="Compact"/>
              <w:jc w:val="center"/>
            </w:pPr>
            <w:r>
              <w:t xml:space="preserve">Yes</w:t>
            </w:r>
          </w:p>
        </w:tc>
      </w:tr>
      <w:tr>
        <w:tc>
          <w:tcPr>
            <w:gridSpan w:val="1"/>
            <w:vMerge w:val="continue"/>
          </w:tcPr>
          <w:p>
            <w:pPr/>
          </w:p>
        </w:tc>
        <w:tc>
          <w:tcPr/>
          <w:p>
            <w:pPr>
              <w:pStyle w:val="Compact"/>
            </w:pPr>
            <w:r>
              <w:rPr>
                <w:b/>
                <w:bCs/>
              </w:rPr>
              <w:t xml:space="preserve">Conflicts of interest</w:t>
            </w:r>
          </w:p>
        </w:tc>
        <w:tc>
          <w:tcPr/>
          <w:p>
            <w:pPr>
              <w:pStyle w:val="Compact"/>
            </w:pPr>
          </w:p>
        </w:tc>
        <w:tc>
          <w:tcPr/>
          <w:p>
            <w:pPr>
              <w:pStyle w:val="Compact"/>
            </w:pPr>
          </w:p>
        </w:tc>
        <w:tc>
          <w:tcPr/>
          <w:p>
            <w:pPr>
              <w:pStyle w:val="Compact"/>
              <w:jc w:val="center"/>
            </w:pPr>
            <w:r>
              <w:t xml:space="preserve">Limited*</w:t>
            </w:r>
          </w:p>
        </w:tc>
      </w:tr>
      <w:tr>
        <w:tc>
          <w:tcPr>
            <w:gridSpan w:val="1"/>
            <w:vMerge w:val="continue"/>
          </w:tcPr>
          <w:p>
            <w:pPr/>
          </w:p>
        </w:tc>
        <w:tc>
          <w:tcPr/>
          <w:p>
            <w:pPr>
              <w:pStyle w:val="Compact"/>
            </w:pPr>
            <w:r>
              <w:rPr>
                <w:b/>
                <w:bCs/>
              </w:rPr>
              <w:t xml:space="preserve">Supply side impact</w:t>
            </w:r>
          </w:p>
        </w:tc>
        <w:tc>
          <w:tcPr/>
          <w:p>
            <w:pPr>
              <w:pStyle w:val="Compact"/>
            </w:pPr>
          </w:p>
        </w:tc>
        <w:tc>
          <w:tcPr/>
          <w:p>
            <w:pPr>
              <w:pStyle w:val="Compact"/>
            </w:pPr>
          </w:p>
        </w:tc>
        <w:tc>
          <w:tcPr/>
          <w:p>
            <w:pPr>
              <w:pStyle w:val="Compact"/>
              <w:jc w:val="center"/>
            </w:pPr>
            <w:r>
              <w:t xml:space="preserve">Limited*</w:t>
            </w:r>
          </w:p>
        </w:tc>
      </w:tr>
      <w:tr>
        <w:tc>
          <w:tcPr>
            <w:gridSpan w:val="1"/>
            <w:vMerge w:val="continue"/>
          </w:tcPr>
          <w:p>
            <w:pPr/>
          </w:p>
        </w:tc>
        <w:tc>
          <w:tcPr/>
          <w:p>
            <w:pPr>
              <w:pStyle w:val="Compact"/>
            </w:pPr>
            <w:r>
              <w:rPr>
                <w:b/>
                <w:bCs/>
              </w:rPr>
              <w:t xml:space="preserve">Tax administration</w:t>
            </w:r>
          </w:p>
        </w:tc>
        <w:tc>
          <w:tcPr/>
          <w:p>
            <w:pPr>
              <w:pStyle w:val="Compact"/>
            </w:pPr>
          </w:p>
        </w:tc>
        <w:tc>
          <w:tcPr/>
          <w:p>
            <w:pPr>
              <w:pStyle w:val="Compact"/>
            </w:pPr>
          </w:p>
        </w:tc>
        <w:tc>
          <w:tcPr/>
          <w:p>
            <w:pPr>
              <w:pStyle w:val="Compact"/>
              <w:jc w:val="center"/>
            </w:pPr>
            <w:r>
              <w:t xml:space="preserve">Limited*</w:t>
            </w:r>
          </w:p>
        </w:tc>
      </w:tr>
      <w:tr>
        <w:tc>
          <w:tcPr>
            <w:gridSpan w:val="1"/>
            <w:vMerge w:val="continue"/>
          </w:tcPr>
          <w:p>
            <w:pPr/>
          </w:p>
        </w:tc>
        <w:tc>
          <w:tcPr/>
          <w:p>
            <w:pPr>
              <w:pStyle w:val="Compact"/>
            </w:pPr>
            <w:r>
              <w:rPr>
                <w:b/>
                <w:bCs/>
              </w:rPr>
              <w:t xml:space="preserve">Distributional impact</w:t>
            </w:r>
          </w:p>
        </w:tc>
        <w:tc>
          <w:tcPr/>
          <w:p>
            <w:pPr>
              <w:pStyle w:val="Compact"/>
            </w:pPr>
          </w:p>
        </w:tc>
        <w:tc>
          <w:tcPr/>
          <w:p>
            <w:pPr>
              <w:pStyle w:val="Compact"/>
            </w:pPr>
          </w:p>
        </w:tc>
        <w:tc>
          <w:tcPr/>
          <w:p>
            <w:pPr>
              <w:pStyle w:val="Compact"/>
              <w:jc w:val="center"/>
            </w:pPr>
            <w:r>
              <w:t xml:space="preserve">Limited*</w:t>
            </w:r>
          </w:p>
        </w:tc>
      </w:tr>
    </w:tbl>
    <w:p>
      <w:pPr>
        <w:pStyle w:val="BodyText"/>
      </w:pPr>
      <w:r>
        <w:rPr>
          <w:i/>
          <w:iCs/>
        </w:rPr>
        <w:t xml:space="preserve">Note: “Required” topics appear in every excise PFR. “Case-dependent” topics are added as country analytical capacity allows: “Intermediate” for capable LMICs and UMICs, “Advanced” for the fullest treatment. “Limited” indicates a partial or qualitative treatment. (*) Scope, conflicts of interest, supply-side, tax-administration and distributional topics are treated qualitatively unless country data supports a fuller analysis. (**) Consumption is reported where household-survey or sales data permit.</w:t>
      </w:r>
    </w:p>
    <w:bookmarkEnd w:id="17"/>
    <w:bookmarkStart w:id="18" w:name="the-key-questions-the-diagnostic-answers"/>
    <w:p>
      <w:pPr>
        <w:pStyle w:val="Heading2"/>
      </w:pPr>
      <w:r>
        <w:t xml:space="preserve">The key questions the diagnostic answers</w:t>
      </w:r>
    </w:p>
    <w:p>
      <w:pPr>
        <w:pStyle w:val="FirstParagraph"/>
      </w:pPr>
      <w:r>
        <w:t xml:space="preserve">The diagnostic is organised around a fixed set of key questions. Each part answers a distinct subset; together they move a country team from reading the schedule to acting on it. The questions are stated in full in the relevant sections of Parts A, B and C and consolidated here.</w:t>
      </w:r>
    </w:p>
    <w:p>
      <w:pPr>
        <w:pStyle w:val="BodyText"/>
      </w:pPr>
      <w:r>
        <w:rPr>
          <w:b/>
          <w:bCs/>
        </w:rPr>
        <w:t xml:space="preserve">Part A — Is each instrument set correctly?</w:t>
      </w:r>
      <w:r>
        <w:t xml:space="preserve"> </w:t>
      </w:r>
      <w:r>
        <w:t xml:space="preserve">What is in the schedule, how is each line structured, how intensely is it taxed on comparable measures, and where are the erosion, gaps and incoherence that the schedule hides?</w:t>
      </w:r>
    </w:p>
    <w:p>
      <w:pPr>
        <w:pStyle w:val="BodyText"/>
      </w:pPr>
      <w:r>
        <w:rPr>
          <w:b/>
          <w:bCs/>
        </w:rPr>
        <w:t xml:space="preserve">Part B — Does the tax system as a whole deal with the externalities that matter?</w:t>
      </w:r>
      <w:r>
        <w:t xml:space="preserve"> </w:t>
      </w:r>
      <w:r>
        <w:t xml:space="preserve">How do current excises compare with the social costs of the taxed goods — across both climate and health externalities — what is the biggest externality not currently priced, and who bears the burden of closing the gap?</w:t>
      </w:r>
    </w:p>
    <w:p>
      <w:pPr>
        <w:pStyle w:val="BodyText"/>
      </w:pPr>
      <w:r>
        <w:rPr>
          <w:b/>
          <w:bCs/>
        </w:rPr>
        <w:t xml:space="preserve">Part C — What should the country do, and in what order?</w:t>
      </w:r>
      <w:r>
        <w:t xml:space="preserve"> </w:t>
      </w:r>
      <w:r>
        <w:t xml:space="preserve">Which reforms are politically tractable, how should they be sequenced and compensated, and what comparator experience supports them?</w:t>
      </w:r>
    </w:p>
    <w:bookmarkEnd w:id="18"/>
    <w:bookmarkStart w:id="19" w:name="X881c3fb35a7ab3bad80f13ba9dd34d6e70b6fdf"/>
    <w:p>
      <w:pPr>
        <w:pStyle w:val="Heading2"/>
      </w:pPr>
      <w:r>
        <w:t xml:space="preserve">Key questions and where they are addressed</w:t>
      </w:r>
    </w:p>
    <w:p>
      <w:pPr>
        <w:pStyle w:val="FirstParagraph"/>
      </w:pPr>
      <w:r>
        <w:t xml:space="preserve">The diagnostic is organised around twenty-eight key questions. The master table below consolidates them: the question, whether it derives from the original climate and health analytical spec or was added in this paper, its data requirements, whether it is answerable in the simplified (“Easy”) version or needs the comprehensive treatment, and the section where it is taken up. Appendix D maps the same questions back to the underlying capacities in narrative form.</w:t>
      </w:r>
    </w:p>
    <w:tbl>
      <w:tblPr>
        <w:tblStyle w:val="Table"/>
        <w:tblW w:type="pct" w:w="4929"/>
        <w:tblLayout w:type="fixed"/>
        <w:tblLook w:firstRow="1" w:lastRow="0" w:firstColumn="0" w:lastColumn="0" w:noHBand="0" w:noVBand="0" w:val="0020"/>
      </w:tblPr>
      <w:tblGrid>
        <w:gridCol w:w="475"/>
        <w:gridCol w:w="2798"/>
        <w:gridCol w:w="475"/>
        <w:gridCol w:w="2042"/>
        <w:gridCol w:w="559"/>
        <w:gridCol w:w="1455"/>
      </w:tblGrid>
      <w:tr>
        <w:trPr>
          <w:tblHeader w:val="on"/>
        </w:trPr>
        <w:tc>
          <w:tcPr/>
          <w:p>
            <w:pPr>
              <w:pStyle w:val="Compact"/>
            </w:pPr>
            <w:r>
              <w:rPr>
                <w:b/>
                <w:bCs/>
              </w:rPr>
              <w:t xml:space="preserve">Q</w:t>
            </w:r>
          </w:p>
        </w:tc>
        <w:tc>
          <w:tcPr/>
          <w:p>
            <w:pPr>
              <w:pStyle w:val="Compact"/>
            </w:pPr>
            <w:r>
              <w:rPr>
                <w:b/>
                <w:bCs/>
              </w:rPr>
              <w:t xml:space="preserve">Key question</w:t>
            </w:r>
          </w:p>
        </w:tc>
        <w:tc>
          <w:tcPr/>
          <w:p>
            <w:pPr>
              <w:pStyle w:val="Compact"/>
            </w:pPr>
            <w:r>
              <w:rPr>
                <w:b/>
                <w:bCs/>
              </w:rPr>
              <w:t xml:space="preserve">In spec?</w:t>
            </w:r>
          </w:p>
        </w:tc>
        <w:tc>
          <w:tcPr/>
          <w:p>
            <w:pPr>
              <w:pStyle w:val="Compact"/>
            </w:pPr>
            <w:r>
              <w:rPr>
                <w:b/>
                <w:bCs/>
              </w:rPr>
              <w:t xml:space="preserve">Data requirements</w:t>
            </w:r>
          </w:p>
        </w:tc>
        <w:tc>
          <w:tcPr/>
          <w:p>
            <w:pPr>
              <w:pStyle w:val="Compact"/>
            </w:pPr>
            <w:r>
              <w:rPr>
                <w:b/>
                <w:bCs/>
              </w:rPr>
              <w:t xml:space="preserve">Ver.</w:t>
            </w:r>
          </w:p>
        </w:tc>
        <w:tc>
          <w:tcPr/>
          <w:p>
            <w:pPr>
              <w:pStyle w:val="Compact"/>
            </w:pPr>
            <w:r>
              <w:rPr>
                <w:b/>
                <w:bCs/>
              </w:rPr>
              <w:t xml:space="preserve">Section ref.</w:t>
            </w:r>
          </w:p>
        </w:tc>
      </w:tr>
      <w:tr>
        <w:tc>
          <w:tcPr>
            <w:gridSpan w:val="6"/>
          </w:tcPr>
          <w:p>
            <w:pPr>
              <w:pStyle w:val="Compact"/>
            </w:pPr>
            <w:r>
              <w:rPr>
                <w:b/>
                <w:bCs/>
              </w:rPr>
              <w:t xml:space="preserve">Part A — Excise Diagnostic (instrument legibility)</w:t>
            </w:r>
          </w:p>
        </w:tc>
      </w:tr>
      <w:tr>
        <w:tc>
          <w:tcPr/>
          <w:p>
            <w:pPr>
              <w:pStyle w:val="Compact"/>
            </w:pPr>
            <w:r>
              <w:rPr>
                <w:b/>
                <w:bCs/>
              </w:rPr>
              <w:t xml:space="preserve">Q1</w:t>
            </w:r>
          </w:p>
        </w:tc>
        <w:tc>
          <w:tcPr/>
          <w:p>
            <w:pPr>
              <w:pStyle w:val="Compact"/>
            </w:pPr>
            <w:r>
              <w:t xml:space="preserve">Coverage — what the schedule actually taxes, and which externality-relevant categories are absent</w:t>
            </w:r>
          </w:p>
        </w:tc>
        <w:tc>
          <w:tcPr/>
          <w:p>
            <w:pPr>
              <w:pStyle w:val="Compact"/>
            </w:pPr>
            <w:r>
              <w:t xml:space="preserve">Added</w:t>
            </w:r>
          </w:p>
        </w:tc>
        <w:tc>
          <w:tcPr/>
          <w:p>
            <w:pPr>
              <w:pStyle w:val="Compact"/>
            </w:pPr>
            <w:r>
              <w:t xml:space="preserve">Excise schedule (current law + recent Finance Acts)</w:t>
            </w:r>
          </w:p>
        </w:tc>
        <w:tc>
          <w:tcPr/>
          <w:p>
            <w:pPr>
              <w:pStyle w:val="Compact"/>
            </w:pPr>
            <w:r>
              <w:rPr>
                <w:b/>
                <w:bCs/>
              </w:rPr>
              <w:t xml:space="preserve">Easy</w:t>
            </w:r>
          </w:p>
        </w:tc>
        <w:tc>
          <w:tcPr/>
          <w:p>
            <w:pPr>
              <w:pStyle w:val="Compact"/>
            </w:pPr>
            <w:r>
              <w:t xml:space="preserve">A1 / Part A key questions (p. 13)</w:t>
            </w:r>
          </w:p>
        </w:tc>
      </w:tr>
      <w:tr>
        <w:tc>
          <w:tcPr/>
          <w:p>
            <w:pPr>
              <w:pStyle w:val="Compact"/>
            </w:pPr>
            <w:r>
              <w:rPr>
                <w:b/>
                <w:bCs/>
              </w:rPr>
              <w:t xml:space="preserve">Q2</w:t>
            </w:r>
          </w:p>
        </w:tc>
        <w:tc>
          <w:tcPr/>
          <w:p>
            <w:pPr>
              <w:pStyle w:val="Compact"/>
            </w:pPr>
            <w:r>
              <w:t xml:space="preserve">Structure — is each line specific, ad valorem or hybrid, and how is it differentiated</w:t>
            </w:r>
          </w:p>
        </w:tc>
        <w:tc>
          <w:tcPr/>
          <w:p>
            <w:pPr>
              <w:pStyle w:val="Compact"/>
            </w:pPr>
            <w:r>
              <w:t xml:space="preserve">Added</w:t>
            </w:r>
          </w:p>
        </w:tc>
        <w:tc>
          <w:tcPr/>
          <w:p>
            <w:pPr>
              <w:pStyle w:val="Compact"/>
            </w:pPr>
            <w:r>
              <w:t xml:space="preserve">Excise schedule</w:t>
            </w:r>
          </w:p>
        </w:tc>
        <w:tc>
          <w:tcPr/>
          <w:p>
            <w:pPr>
              <w:pStyle w:val="Compact"/>
            </w:pPr>
            <w:r>
              <w:rPr>
                <w:b/>
                <w:bCs/>
              </w:rPr>
              <w:t xml:space="preserve">Easy</w:t>
            </w:r>
          </w:p>
        </w:tc>
        <w:tc>
          <w:tcPr/>
          <w:p>
            <w:pPr>
              <w:pStyle w:val="Compact"/>
            </w:pPr>
            <w:r>
              <w:t xml:space="preserve">A1 / Part A key questions (p. 13)</w:t>
            </w:r>
          </w:p>
        </w:tc>
      </w:tr>
      <w:tr>
        <w:tc>
          <w:tcPr/>
          <w:p>
            <w:pPr>
              <w:pStyle w:val="Compact"/>
            </w:pPr>
            <w:r>
              <w:rPr>
                <w:b/>
                <w:bCs/>
              </w:rPr>
              <w:t xml:space="preserve">Q3</w:t>
            </w:r>
          </w:p>
        </w:tc>
        <w:tc>
          <w:tcPr/>
          <w:p>
            <w:pPr>
              <w:pStyle w:val="Compact"/>
            </w:pPr>
            <w:r>
              <w:t xml:space="preserve">Intensity — the three comparable measures: $/unit, % of consumer price, % of GDP</w:t>
            </w:r>
          </w:p>
        </w:tc>
        <w:tc>
          <w:tcPr/>
          <w:p>
            <w:pPr>
              <w:pStyle w:val="Compact"/>
            </w:pPr>
            <w:r>
              <w:t xml:space="preserve">Spec</w:t>
            </w:r>
          </w:p>
        </w:tc>
        <w:tc>
          <w:tcPr/>
          <w:p>
            <w:pPr>
              <w:pStyle w:val="Compact"/>
            </w:pPr>
            <w:r>
              <w:t xml:space="preserve">Schedule; representative prices; consumption volumes; GDP; FX</w:t>
            </w:r>
          </w:p>
        </w:tc>
        <w:tc>
          <w:tcPr/>
          <w:p>
            <w:pPr>
              <w:pStyle w:val="Compact"/>
            </w:pPr>
            <w:r>
              <w:rPr>
                <w:b/>
                <w:bCs/>
              </w:rPr>
              <w:t xml:space="preserve">Easy</w:t>
            </w:r>
          </w:p>
        </w:tc>
        <w:tc>
          <w:tcPr/>
          <w:p>
            <w:pPr>
              <w:pStyle w:val="Compact"/>
            </w:pPr>
            <w:r>
              <w:t xml:space="preserve">A2–A5 / Part A key questions (p. 13)</w:t>
            </w:r>
          </w:p>
        </w:tc>
      </w:tr>
      <w:tr>
        <w:tc>
          <w:tcPr/>
          <w:p>
            <w:pPr>
              <w:pStyle w:val="Compact"/>
            </w:pPr>
            <w:r>
              <w:rPr>
                <w:b/>
                <w:bCs/>
              </w:rPr>
              <w:t xml:space="preserve">Q4</w:t>
            </w:r>
          </w:p>
        </w:tc>
        <w:tc>
          <w:tcPr/>
          <w:p>
            <w:pPr>
              <w:pStyle w:val="Compact"/>
            </w:pPr>
            <w:r>
              <w:t xml:space="preserve">Benchmarking against regional, OECD, WHO and IMF reference levels</w:t>
            </w:r>
          </w:p>
        </w:tc>
        <w:tc>
          <w:tcPr/>
          <w:p>
            <w:pPr>
              <w:pStyle w:val="Compact"/>
            </w:pPr>
            <w:r>
              <w:t xml:space="preserve">Spec</w:t>
            </w:r>
          </w:p>
        </w:tc>
        <w:tc>
          <w:tcPr/>
          <w:p>
            <w:pPr>
              <w:pStyle w:val="Compact"/>
            </w:pPr>
            <w:r>
              <w:t xml:space="preserve">Q3 outputs; external benchmark tables (OECD, WHO, IMF)</w:t>
            </w:r>
          </w:p>
        </w:tc>
        <w:tc>
          <w:tcPr/>
          <w:p>
            <w:pPr>
              <w:pStyle w:val="Compact"/>
            </w:pPr>
            <w:r>
              <w:rPr>
                <w:b/>
                <w:bCs/>
              </w:rPr>
              <w:t xml:space="preserve">Comprehensive</w:t>
            </w:r>
          </w:p>
        </w:tc>
        <w:tc>
          <w:tcPr/>
          <w:p>
            <w:pPr>
              <w:pStyle w:val="Compact"/>
            </w:pPr>
            <w:r>
              <w:t xml:space="preserve">A4–A5 / Part A key questions (p. 13)</w:t>
            </w:r>
          </w:p>
        </w:tc>
      </w:tr>
      <w:tr>
        <w:tc>
          <w:tcPr/>
          <w:p>
            <w:pPr>
              <w:pStyle w:val="Compact"/>
            </w:pPr>
            <w:r>
              <w:rPr>
                <w:b/>
                <w:bCs/>
              </w:rPr>
              <w:t xml:space="preserve">Q5</w:t>
            </w:r>
          </w:p>
        </w:tc>
        <w:tc>
          <w:tcPr/>
          <w:p>
            <w:pPr>
              <w:pStyle w:val="Compact"/>
            </w:pPr>
            <w:r>
              <w:t xml:space="preserve">Erosion — which specific rates are losing real value to inflation</w:t>
            </w:r>
          </w:p>
        </w:tc>
        <w:tc>
          <w:tcPr/>
          <w:p>
            <w:pPr>
              <w:pStyle w:val="Compact"/>
            </w:pPr>
            <w:r>
              <w:t xml:space="preserve">Spec</w:t>
            </w:r>
          </w:p>
        </w:tc>
        <w:tc>
          <w:tcPr/>
          <w:p>
            <w:pPr>
              <w:pStyle w:val="Compact"/>
            </w:pPr>
            <w:r>
              <w:t xml:space="preserve">Year-by-year rate history (Appendix B); CPI series</w:t>
            </w:r>
          </w:p>
        </w:tc>
        <w:tc>
          <w:tcPr/>
          <w:p>
            <w:pPr>
              <w:pStyle w:val="Compact"/>
            </w:pPr>
            <w:r>
              <w:rPr>
                <w:b/>
                <w:bCs/>
              </w:rPr>
              <w:t xml:space="preserve">Easy</w:t>
            </w:r>
          </w:p>
        </w:tc>
        <w:tc>
          <w:tcPr/>
          <w:p>
            <w:pPr>
              <w:pStyle w:val="Compact"/>
            </w:pPr>
            <w:r>
              <w:t xml:space="preserve">A1, A6, Appendix B / Part A key questions (p. 13)</w:t>
            </w:r>
          </w:p>
        </w:tc>
      </w:tr>
      <w:tr>
        <w:tc>
          <w:tcPr/>
          <w:p>
            <w:pPr>
              <w:pStyle w:val="Compact"/>
            </w:pPr>
            <w:r>
              <w:rPr>
                <w:b/>
                <w:bCs/>
              </w:rPr>
              <w:t xml:space="preserve">Q6</w:t>
            </w:r>
          </w:p>
        </w:tc>
        <w:tc>
          <w:tcPr/>
          <w:p>
            <w:pPr>
              <w:pStyle w:val="Compact"/>
            </w:pPr>
            <w:r>
              <w:t xml:space="preserve">Coherence — where differentiation devices stack into rate inversions or friction</w:t>
            </w:r>
          </w:p>
        </w:tc>
        <w:tc>
          <w:tcPr/>
          <w:p>
            <w:pPr>
              <w:pStyle w:val="Compact"/>
            </w:pPr>
            <w:r>
              <w:t xml:space="preserve">Added</w:t>
            </w:r>
          </w:p>
        </w:tc>
        <w:tc>
          <w:tcPr/>
          <w:p>
            <w:pPr>
              <w:pStyle w:val="Compact"/>
            </w:pPr>
            <w:r>
              <w:t xml:space="preserve">Schedule structure and differentiation fields</w:t>
            </w:r>
          </w:p>
        </w:tc>
        <w:tc>
          <w:tcPr/>
          <w:p>
            <w:pPr>
              <w:pStyle w:val="Compact"/>
            </w:pPr>
            <w:r>
              <w:rPr>
                <w:b/>
                <w:bCs/>
              </w:rPr>
              <w:t xml:space="preserve">Comprehensive</w:t>
            </w:r>
          </w:p>
        </w:tc>
        <w:tc>
          <w:tcPr/>
          <w:p>
            <w:pPr>
              <w:pStyle w:val="Compact"/>
            </w:pPr>
            <w:r>
              <w:t xml:space="preserve">A1 / Part A key questions (p. 13)</w:t>
            </w:r>
          </w:p>
        </w:tc>
      </w:tr>
      <w:tr>
        <w:tc>
          <w:tcPr/>
          <w:p>
            <w:pPr>
              <w:pStyle w:val="Compact"/>
            </w:pPr>
            <w:r>
              <w:rPr>
                <w:b/>
                <w:bCs/>
              </w:rPr>
              <w:t xml:space="preserve">Q7</w:t>
            </w:r>
          </w:p>
        </w:tc>
        <w:tc>
          <w:tcPr/>
          <w:p>
            <w:pPr>
              <w:pStyle w:val="Compact"/>
            </w:pPr>
            <w:r>
              <w:t xml:space="preserve">Price tracking — excise-inclusive price vs CPI inflation and household incomes</w:t>
            </w:r>
          </w:p>
        </w:tc>
        <w:tc>
          <w:tcPr/>
          <w:p>
            <w:pPr>
              <w:pStyle w:val="Compact"/>
            </w:pPr>
            <w:r>
              <w:t xml:space="preserve">Spec</w:t>
            </w:r>
          </w:p>
        </w:tc>
        <w:tc>
          <w:tcPr/>
          <w:p>
            <w:pPr>
              <w:pStyle w:val="Compact"/>
            </w:pPr>
            <w:r>
              <w:t xml:space="preserve">Retail price series; CPI; household income/expenditure data</w:t>
            </w:r>
          </w:p>
        </w:tc>
        <w:tc>
          <w:tcPr/>
          <w:p>
            <w:pPr>
              <w:pStyle w:val="Compact"/>
            </w:pPr>
            <w:r>
              <w:rPr>
                <w:b/>
                <w:bCs/>
              </w:rPr>
              <w:t xml:space="preserve">Comprehensive</w:t>
            </w:r>
          </w:p>
        </w:tc>
        <w:tc>
          <w:tcPr/>
          <w:p>
            <w:pPr>
              <w:pStyle w:val="Compact"/>
            </w:pPr>
            <w:r>
              <w:t xml:space="preserve">Part A key questions (p. 13); Appendix D</w:t>
            </w:r>
          </w:p>
        </w:tc>
      </w:tr>
      <w:tr>
        <w:tc>
          <w:tcPr>
            <w:gridSpan w:val="6"/>
          </w:tcPr>
          <w:p>
            <w:pPr>
              <w:pStyle w:val="Compact"/>
            </w:pPr>
            <w:r>
              <w:rPr>
                <w:b/>
                <w:bCs/>
              </w:rPr>
              <w:t xml:space="preserve">Part B — Health &amp; Climate Externality Diagnostic (the system question)</w:t>
            </w:r>
          </w:p>
        </w:tc>
      </w:tr>
      <w:tr>
        <w:tc>
          <w:tcPr/>
          <w:p>
            <w:pPr>
              <w:pStyle w:val="Compact"/>
            </w:pPr>
            <w:r>
              <w:rPr>
                <w:b/>
                <w:bCs/>
              </w:rPr>
              <w:t xml:space="preserve">Q8</w:t>
            </w:r>
          </w:p>
        </w:tc>
        <w:tc>
          <w:tcPr/>
          <w:p>
            <w:pPr>
              <w:pStyle w:val="Compact"/>
            </w:pPr>
            <w:r>
              <w:t xml:space="preserve">Joint tax benchmarking across all goods with externalities</w:t>
            </w:r>
          </w:p>
        </w:tc>
        <w:tc>
          <w:tcPr/>
          <w:p>
            <w:pPr>
              <w:pStyle w:val="Compact"/>
            </w:pPr>
            <w:r>
              <w:t xml:space="preserve">Spec</w:t>
            </w:r>
          </w:p>
        </w:tc>
        <w:tc>
          <w:tcPr/>
          <w:p>
            <w:pPr>
              <w:pStyle w:val="Compact"/>
            </w:pPr>
            <w:r>
              <w:t xml:space="preserve">Total Carbon Price (climate); health-tax rates (tobacco, alcohol, SSB)</w:t>
            </w:r>
          </w:p>
        </w:tc>
        <w:tc>
          <w:tcPr/>
          <w:p>
            <w:pPr>
              <w:pStyle w:val="Compact"/>
            </w:pPr>
            <w:r>
              <w:rPr>
                <w:b/>
                <w:bCs/>
              </w:rPr>
              <w:t xml:space="preserve">Comprehensive</w:t>
            </w:r>
          </w:p>
        </w:tc>
        <w:tc>
          <w:tcPr/>
          <w:p>
            <w:pPr>
              <w:pStyle w:val="Compact"/>
            </w:pPr>
            <w:r>
              <w:t xml:space="preserve">B8 — Benchmarking (p. 37)</w:t>
            </w:r>
          </w:p>
        </w:tc>
      </w:tr>
      <w:tr>
        <w:tc>
          <w:tcPr/>
          <w:p>
            <w:pPr>
              <w:pStyle w:val="Compact"/>
            </w:pPr>
            <w:r>
              <w:rPr>
                <w:b/>
                <w:bCs/>
              </w:rPr>
              <w:t xml:space="preserve">Q9</w:t>
            </w:r>
          </w:p>
        </w:tc>
        <w:tc>
          <w:tcPr/>
          <w:p>
            <w:pPr>
              <w:pStyle w:val="Compact"/>
            </w:pPr>
            <w:r>
              <w:t xml:space="preserve">Tax per unit of harmful content (carbon for fuels; pure alcohol for drinks)</w:t>
            </w:r>
          </w:p>
        </w:tc>
        <w:tc>
          <w:tcPr/>
          <w:p>
            <w:pPr>
              <w:pStyle w:val="Compact"/>
            </w:pPr>
            <w:r>
              <w:t xml:space="preserve">Spec</w:t>
            </w:r>
          </w:p>
        </w:tc>
        <w:tc>
          <w:tcPr/>
          <w:p>
            <w:pPr>
              <w:pStyle w:val="Compact"/>
            </w:pPr>
            <w:r>
              <w:t xml:space="preserve">Carbon content factors; ABV / pure-alcohol conversion</w:t>
            </w:r>
          </w:p>
        </w:tc>
        <w:tc>
          <w:tcPr/>
          <w:p>
            <w:pPr>
              <w:pStyle w:val="Compact"/>
            </w:pPr>
            <w:r>
              <w:rPr>
                <w:b/>
                <w:bCs/>
              </w:rPr>
              <w:t xml:space="preserve">Comprehensive</w:t>
            </w:r>
          </w:p>
        </w:tc>
        <w:tc>
          <w:tcPr/>
          <w:p>
            <w:pPr>
              <w:pStyle w:val="Compact"/>
            </w:pPr>
            <w:r>
              <w:t xml:space="preserve">B8 — Benchmarking; Part A Q3 (p. 37)</w:t>
            </w:r>
          </w:p>
        </w:tc>
      </w:tr>
      <w:tr>
        <w:tc>
          <w:tcPr/>
          <w:p>
            <w:pPr>
              <w:pStyle w:val="Compact"/>
            </w:pPr>
            <w:r>
              <w:rPr>
                <w:b/>
                <w:bCs/>
              </w:rPr>
              <w:t xml:space="preserve">Q10</w:t>
            </w:r>
          </w:p>
        </w:tc>
        <w:tc>
          <w:tcPr/>
          <w:p>
            <w:pPr>
              <w:pStyle w:val="Compact"/>
            </w:pPr>
            <w:r>
              <w:t xml:space="preserve">Share of consumer price coming from excise</w:t>
            </w:r>
          </w:p>
        </w:tc>
        <w:tc>
          <w:tcPr/>
          <w:p>
            <w:pPr>
              <w:pStyle w:val="Compact"/>
            </w:pPr>
            <w:r>
              <w:t xml:space="preserve">Spec</w:t>
            </w:r>
          </w:p>
        </w:tc>
        <w:tc>
          <w:tcPr/>
          <w:p>
            <w:pPr>
              <w:pStyle w:val="Compact"/>
            </w:pPr>
            <w:r>
              <w:t xml:space="preserve">Retail prices; statutory rates (health holds; climate has data)</w:t>
            </w:r>
          </w:p>
        </w:tc>
        <w:tc>
          <w:tcPr/>
          <w:p>
            <w:pPr>
              <w:pStyle w:val="Compact"/>
            </w:pPr>
            <w:r>
              <w:rPr>
                <w:b/>
                <w:bCs/>
              </w:rPr>
              <w:t xml:space="preserve">Comprehensive</w:t>
            </w:r>
          </w:p>
        </w:tc>
        <w:tc>
          <w:tcPr/>
          <w:p>
            <w:pPr>
              <w:pStyle w:val="Compact"/>
            </w:pPr>
            <w:r>
              <w:t xml:space="preserve">B8 — Benchmarking; Part A Q3 (p. 37)</w:t>
            </w:r>
          </w:p>
        </w:tc>
      </w:tr>
      <w:tr>
        <w:tc>
          <w:tcPr/>
          <w:p>
            <w:pPr>
              <w:pStyle w:val="Compact"/>
            </w:pPr>
            <w:r>
              <w:rPr>
                <w:b/>
                <w:bCs/>
              </w:rPr>
              <w:t xml:space="preserve">Q11</w:t>
            </w:r>
          </w:p>
        </w:tc>
        <w:tc>
          <w:tcPr/>
          <w:p>
            <w:pPr>
              <w:pStyle w:val="Compact"/>
            </w:pPr>
            <w:r>
              <w:t xml:space="preserve">Tax gaps — current excise vs the social cost of the taxed good</w:t>
            </w:r>
          </w:p>
        </w:tc>
        <w:tc>
          <w:tcPr/>
          <w:p>
            <w:pPr>
              <w:pStyle w:val="Compact"/>
            </w:pPr>
            <w:r>
              <w:t xml:space="preserve">Spec</w:t>
            </w:r>
          </w:p>
        </w:tc>
        <w:tc>
          <w:tcPr/>
          <w:p>
            <w:pPr>
              <w:pStyle w:val="Compact"/>
            </w:pPr>
            <w:r>
              <w:t xml:space="preserve">Externality valuations; current effective rates</w:t>
            </w:r>
          </w:p>
        </w:tc>
        <w:tc>
          <w:tcPr/>
          <w:p>
            <w:pPr>
              <w:pStyle w:val="Compact"/>
            </w:pPr>
            <w:r>
              <w:rPr>
                <w:b/>
                <w:bCs/>
              </w:rPr>
              <w:t xml:space="preserve">Comprehensive</w:t>
            </w:r>
          </w:p>
        </w:tc>
        <w:tc>
          <w:tcPr/>
          <w:p>
            <w:pPr>
              <w:pStyle w:val="Compact"/>
            </w:pPr>
            <w:r>
              <w:t xml:space="preserve">B8; B7 Section 2/4 (p. 37)</w:t>
            </w:r>
          </w:p>
        </w:tc>
      </w:tr>
      <w:tr>
        <w:tc>
          <w:tcPr/>
          <w:p>
            <w:pPr>
              <w:pStyle w:val="Compact"/>
            </w:pPr>
            <w:r>
              <w:rPr>
                <w:b/>
                <w:bCs/>
              </w:rPr>
              <w:t xml:space="preserve">Q12</w:t>
            </w:r>
          </w:p>
        </w:tc>
        <w:tc>
          <w:tcPr/>
          <w:p>
            <w:pPr>
              <w:pStyle w:val="Compact"/>
            </w:pPr>
            <w:r>
              <w:t xml:space="preserve">Consumption composition and evolution (aggregate and by subcategory)</w:t>
            </w:r>
          </w:p>
        </w:tc>
        <w:tc>
          <w:tcPr/>
          <w:p>
            <w:pPr>
              <w:pStyle w:val="Compact"/>
            </w:pPr>
            <w:r>
              <w:t xml:space="preserve">Spec</w:t>
            </w:r>
          </w:p>
        </w:tc>
        <w:tc>
          <w:tcPr/>
          <w:p>
            <w:pPr>
              <w:pStyle w:val="Compact"/>
            </w:pPr>
            <w:r>
              <w:t xml:space="preserve">Fuel/alcohol consumption series; household splits</w:t>
            </w:r>
          </w:p>
        </w:tc>
        <w:tc>
          <w:tcPr/>
          <w:p>
            <w:pPr>
              <w:pStyle w:val="Compact"/>
            </w:pPr>
            <w:r>
              <w:rPr>
                <w:b/>
                <w:bCs/>
              </w:rPr>
              <w:t xml:space="preserve">Comprehensive</w:t>
            </w:r>
          </w:p>
        </w:tc>
        <w:tc>
          <w:tcPr/>
          <w:p>
            <w:pPr>
              <w:pStyle w:val="Compact"/>
            </w:pPr>
            <w:r>
              <w:t xml:space="preserve">B8 — Benchmarking (p. 37)</w:t>
            </w:r>
          </w:p>
        </w:tc>
      </w:tr>
      <w:tr>
        <w:tc>
          <w:tcPr/>
          <w:p>
            <w:pPr>
              <w:pStyle w:val="Compact"/>
            </w:pPr>
            <w:r>
              <w:rPr>
                <w:b/>
                <w:bCs/>
              </w:rPr>
              <w:t xml:space="preserve">Q13</w:t>
            </w:r>
          </w:p>
        </w:tc>
        <w:tc>
          <w:tcPr/>
          <w:p>
            <w:pPr>
              <w:pStyle w:val="Compact"/>
            </w:pPr>
            <w:r>
              <w:t xml:space="preserve">Baseline disease burden (fatalities, DALYs) linked to consumption</w:t>
            </w:r>
          </w:p>
        </w:tc>
        <w:tc>
          <w:tcPr/>
          <w:p>
            <w:pPr>
              <w:pStyle w:val="Compact"/>
            </w:pPr>
            <w:r>
              <w:t xml:space="preserve">Spec</w:t>
            </w:r>
          </w:p>
        </w:tc>
        <w:tc>
          <w:tcPr/>
          <w:p>
            <w:pPr>
              <w:pStyle w:val="Compact"/>
            </w:pPr>
            <w:r>
              <w:t xml:space="preserve">GBD / Climate &amp; Health Program mortality; air-pollution attribution</w:t>
            </w:r>
          </w:p>
        </w:tc>
        <w:tc>
          <w:tcPr/>
          <w:p>
            <w:pPr>
              <w:pStyle w:val="Compact"/>
            </w:pPr>
            <w:r>
              <w:rPr>
                <w:b/>
                <w:bCs/>
              </w:rPr>
              <w:t xml:space="preserve">Comprehensive</w:t>
            </w:r>
          </w:p>
        </w:tc>
        <w:tc>
          <w:tcPr/>
          <w:p>
            <w:pPr>
              <w:pStyle w:val="Compact"/>
            </w:pPr>
            <w:r>
              <w:t xml:space="preserve">B8 — Disease burden (p. 37)</w:t>
            </w:r>
          </w:p>
        </w:tc>
      </w:tr>
      <w:tr>
        <w:tc>
          <w:tcPr/>
          <w:p>
            <w:pPr>
              <w:pStyle w:val="Compact"/>
            </w:pPr>
            <w:r>
              <w:rPr>
                <w:b/>
                <w:bCs/>
              </w:rPr>
              <w:t xml:space="preserve">Q14</w:t>
            </w:r>
          </w:p>
        </w:tc>
        <w:tc>
          <w:tcPr/>
          <w:p>
            <w:pPr>
              <w:pStyle w:val="Compact"/>
            </w:pPr>
            <w:r>
              <w:t xml:space="preserve">Affordability over time (price vs CPI and incomes)</w:t>
            </w:r>
          </w:p>
        </w:tc>
        <w:tc>
          <w:tcPr/>
          <w:p>
            <w:pPr>
              <w:pStyle w:val="Compact"/>
            </w:pPr>
            <w:r>
              <w:t xml:space="preserve">Spec</w:t>
            </w:r>
          </w:p>
        </w:tc>
        <w:tc>
          <w:tcPr/>
          <w:p>
            <w:pPr>
              <w:pStyle w:val="Compact"/>
            </w:pPr>
            <w:r>
              <w:t xml:space="preserve">Price series; CPI; income data</w:t>
            </w:r>
          </w:p>
        </w:tc>
        <w:tc>
          <w:tcPr/>
          <w:p>
            <w:pPr>
              <w:pStyle w:val="Compact"/>
            </w:pPr>
            <w:r>
              <w:rPr>
                <w:b/>
                <w:bCs/>
              </w:rPr>
              <w:t xml:space="preserve">Comprehensive</w:t>
            </w:r>
          </w:p>
        </w:tc>
        <w:tc>
          <w:tcPr/>
          <w:p>
            <w:pPr>
              <w:pStyle w:val="Compact"/>
            </w:pPr>
            <w:r>
              <w:t xml:space="preserve">B8 — Affordability; Part A Q7 (p. 37)</w:t>
            </w:r>
          </w:p>
        </w:tc>
      </w:tr>
      <w:tr>
        <w:tc>
          <w:tcPr/>
          <w:p>
            <w:pPr>
              <w:pStyle w:val="Compact"/>
            </w:pPr>
            <w:r>
              <w:rPr>
                <w:b/>
                <w:bCs/>
              </w:rPr>
              <w:t xml:space="preserve">Q15</w:t>
            </w:r>
          </w:p>
        </w:tc>
        <w:tc>
          <w:tcPr/>
          <w:p>
            <w:pPr>
              <w:pStyle w:val="Compact"/>
            </w:pPr>
            <w:r>
              <w:t xml:space="preserve">Reform: revenue raised</w:t>
            </w:r>
          </w:p>
        </w:tc>
        <w:tc>
          <w:tcPr/>
          <w:p>
            <w:pPr>
              <w:pStyle w:val="Compact"/>
            </w:pPr>
            <w:r>
              <w:t xml:space="preserve">Spec</w:t>
            </w:r>
          </w:p>
        </w:tc>
        <w:tc>
          <w:tcPr/>
          <w:p>
            <w:pPr>
              <w:pStyle w:val="Compact"/>
            </w:pPr>
            <w:r>
              <w:t xml:space="preserve">CPAT / health-program revenue module; volumes; elasticities</w:t>
            </w:r>
          </w:p>
        </w:tc>
        <w:tc>
          <w:tcPr/>
          <w:p>
            <w:pPr>
              <w:pStyle w:val="Compact"/>
            </w:pPr>
            <w:r>
              <w:rPr>
                <w:b/>
                <w:bCs/>
              </w:rPr>
              <w:t xml:space="preserve">Both</w:t>
            </w:r>
          </w:p>
        </w:tc>
        <w:tc>
          <w:tcPr/>
          <w:p>
            <w:pPr>
              <w:pStyle w:val="Compact"/>
            </w:pPr>
            <w:r>
              <w:t xml:space="preserve">B8 — Reform analysis; B7 (p. 37)</w:t>
            </w:r>
          </w:p>
        </w:tc>
      </w:tr>
      <w:tr>
        <w:tc>
          <w:tcPr/>
          <w:p>
            <w:pPr>
              <w:pStyle w:val="Compact"/>
            </w:pPr>
            <w:r>
              <w:rPr>
                <w:b/>
                <w:bCs/>
              </w:rPr>
              <w:t xml:space="preserve">Q16</w:t>
            </w:r>
          </w:p>
        </w:tc>
        <w:tc>
          <w:tcPr/>
          <w:p>
            <w:pPr>
              <w:pStyle w:val="Compact"/>
            </w:pPr>
            <w:r>
              <w:t xml:space="preserve">Reform: effect on product prices</w:t>
            </w:r>
          </w:p>
        </w:tc>
        <w:tc>
          <w:tcPr/>
          <w:p>
            <w:pPr>
              <w:pStyle w:val="Compact"/>
            </w:pPr>
            <w:r>
              <w:t xml:space="preserve">Spec</w:t>
            </w:r>
          </w:p>
        </w:tc>
        <w:tc>
          <w:tcPr/>
          <w:p>
            <w:pPr>
              <w:pStyle w:val="Compact"/>
            </w:pPr>
            <w:r>
              <w:t xml:space="preserve">Pass-through assumptions; rate change</w:t>
            </w:r>
          </w:p>
        </w:tc>
        <w:tc>
          <w:tcPr/>
          <w:p>
            <w:pPr>
              <w:pStyle w:val="Compact"/>
            </w:pPr>
            <w:r>
              <w:rPr>
                <w:b/>
                <w:bCs/>
              </w:rPr>
              <w:t xml:space="preserve">Both</w:t>
            </w:r>
          </w:p>
        </w:tc>
        <w:tc>
          <w:tcPr/>
          <w:p>
            <w:pPr>
              <w:pStyle w:val="Compact"/>
            </w:pPr>
            <w:r>
              <w:t xml:space="preserve">B8 — Reform analysis; B7 (p. 37)</w:t>
            </w:r>
          </w:p>
        </w:tc>
      </w:tr>
      <w:tr>
        <w:tc>
          <w:tcPr/>
          <w:p>
            <w:pPr>
              <w:pStyle w:val="Compact"/>
            </w:pPr>
            <w:r>
              <w:rPr>
                <w:b/>
                <w:bCs/>
              </w:rPr>
              <w:t xml:space="preserve">Q17</w:t>
            </w:r>
          </w:p>
        </w:tc>
        <w:tc>
          <w:tcPr/>
          <w:p>
            <w:pPr>
              <w:pStyle w:val="Compact"/>
            </w:pPr>
            <w:r>
              <w:t xml:space="preserve">Reform: effect on product use (consumption response)</w:t>
            </w:r>
          </w:p>
        </w:tc>
        <w:tc>
          <w:tcPr/>
          <w:p>
            <w:pPr>
              <w:pStyle w:val="Compact"/>
            </w:pPr>
            <w:r>
              <w:t xml:space="preserve">Spec</w:t>
            </w:r>
          </w:p>
        </w:tc>
        <w:tc>
          <w:tcPr/>
          <w:p>
            <w:pPr>
              <w:pStyle w:val="Compact"/>
            </w:pPr>
            <w:r>
              <w:t xml:space="preserve">Price elasticities (pooled or country)</w:t>
            </w:r>
          </w:p>
        </w:tc>
        <w:tc>
          <w:tcPr/>
          <w:p>
            <w:pPr>
              <w:pStyle w:val="Compact"/>
            </w:pPr>
            <w:r>
              <w:rPr>
                <w:b/>
                <w:bCs/>
              </w:rPr>
              <w:t xml:space="preserve">Both</w:t>
            </w:r>
          </w:p>
        </w:tc>
        <w:tc>
          <w:tcPr/>
          <w:p>
            <w:pPr>
              <w:pStyle w:val="Compact"/>
            </w:pPr>
            <w:r>
              <w:t xml:space="preserve">B8 — Reform analysis; B7 (p. 37)</w:t>
            </w:r>
          </w:p>
        </w:tc>
      </w:tr>
      <w:tr>
        <w:tc>
          <w:tcPr/>
          <w:p>
            <w:pPr>
              <w:pStyle w:val="Compact"/>
            </w:pPr>
            <w:r>
              <w:rPr>
                <w:b/>
                <w:bCs/>
              </w:rPr>
              <w:t xml:space="preserve">Q18</w:t>
            </w:r>
          </w:p>
        </w:tc>
        <w:tc>
          <w:tcPr/>
          <w:p>
            <w:pPr>
              <w:pStyle w:val="Compact"/>
            </w:pPr>
            <w:r>
              <w:t xml:space="preserve">Reform: disease averted and health-care cost savings</w:t>
            </w:r>
          </w:p>
        </w:tc>
        <w:tc>
          <w:tcPr/>
          <w:p>
            <w:pPr>
              <w:pStyle w:val="Compact"/>
            </w:pPr>
            <w:r>
              <w:t xml:space="preserve">Spec</w:t>
            </w:r>
          </w:p>
        </w:tc>
        <w:tc>
          <w:tcPr/>
          <w:p>
            <w:pPr>
              <w:pStyle w:val="Compact"/>
            </w:pPr>
            <w:r>
              <w:t xml:space="preserve">Concentration-response; VSL; baseline burden</w:t>
            </w:r>
          </w:p>
        </w:tc>
        <w:tc>
          <w:tcPr/>
          <w:p>
            <w:pPr>
              <w:pStyle w:val="Compact"/>
            </w:pPr>
            <w:r>
              <w:rPr>
                <w:b/>
                <w:bCs/>
              </w:rPr>
              <w:t xml:space="preserve">Comprehensive</w:t>
            </w:r>
          </w:p>
        </w:tc>
        <w:tc>
          <w:tcPr/>
          <w:p>
            <w:pPr>
              <w:pStyle w:val="Compact"/>
            </w:pPr>
            <w:r>
              <w:t xml:space="preserve">B8 — Reform analysis; B7 (p. 37)</w:t>
            </w:r>
          </w:p>
        </w:tc>
      </w:tr>
      <w:tr>
        <w:tc>
          <w:tcPr/>
          <w:p>
            <w:pPr>
              <w:pStyle w:val="Compact"/>
            </w:pPr>
            <w:r>
              <w:rPr>
                <w:b/>
                <w:bCs/>
              </w:rPr>
              <w:t xml:space="preserve">Q19</w:t>
            </w:r>
          </w:p>
        </w:tc>
        <w:tc>
          <w:tcPr/>
          <w:p>
            <w:pPr>
              <w:pStyle w:val="Compact"/>
            </w:pPr>
            <w:r>
              <w:t xml:space="preserve">Reform: distributional incidence and revenue recycling</w:t>
            </w:r>
          </w:p>
        </w:tc>
        <w:tc>
          <w:tcPr/>
          <w:p>
            <w:pPr>
              <w:pStyle w:val="Compact"/>
            </w:pPr>
            <w:r>
              <w:t xml:space="preserve">Spec</w:t>
            </w:r>
          </w:p>
        </w:tc>
        <w:tc>
          <w:tcPr/>
          <w:p>
            <w:pPr>
              <w:pStyle w:val="Compact"/>
            </w:pPr>
            <w:r>
              <w:t xml:space="preserve">CPAT incidence module; household survey (TOBACTAX for tobacco)</w:t>
            </w:r>
          </w:p>
        </w:tc>
        <w:tc>
          <w:tcPr/>
          <w:p>
            <w:pPr>
              <w:pStyle w:val="Compact"/>
            </w:pPr>
            <w:r>
              <w:rPr>
                <w:b/>
                <w:bCs/>
              </w:rPr>
              <w:t xml:space="preserve">Comprehensive</w:t>
            </w:r>
          </w:p>
        </w:tc>
        <w:tc>
          <w:tcPr/>
          <w:p>
            <w:pPr>
              <w:pStyle w:val="Compact"/>
            </w:pPr>
            <w:r>
              <w:t xml:space="preserve">B8 — Reform (Equity); B7 Section 5 (p. 37)</w:t>
            </w:r>
          </w:p>
        </w:tc>
      </w:tr>
      <w:tr>
        <w:tc>
          <w:tcPr/>
          <w:p>
            <w:pPr>
              <w:pStyle w:val="Compact"/>
            </w:pPr>
            <w:r>
              <w:rPr>
                <w:b/>
                <w:bCs/>
              </w:rPr>
              <w:t xml:space="preserve">Q20</w:t>
            </w:r>
          </w:p>
        </w:tc>
        <w:tc>
          <w:tcPr/>
          <w:p>
            <w:pPr>
              <w:pStyle w:val="Compact"/>
            </w:pPr>
            <w:r>
              <w:t xml:space="preserve">Reform: macroeconomic (output, employment) effects</w:t>
            </w:r>
          </w:p>
        </w:tc>
        <w:tc>
          <w:tcPr/>
          <w:p>
            <w:pPr>
              <w:pStyle w:val="Compact"/>
            </w:pPr>
            <w:r>
              <w:t xml:space="preserve">Spec</w:t>
            </w:r>
          </w:p>
        </w:tc>
        <w:tc>
          <w:tcPr/>
          <w:p>
            <w:pPr>
              <w:pStyle w:val="Compact"/>
            </w:pPr>
            <w:r>
              <w:t xml:space="preserve">Revenue figures; fiscal-multiplier / CGE inputs</w:t>
            </w:r>
          </w:p>
        </w:tc>
        <w:tc>
          <w:tcPr/>
          <w:p>
            <w:pPr>
              <w:pStyle w:val="Compact"/>
            </w:pPr>
            <w:r>
              <w:rPr>
                <w:b/>
                <w:bCs/>
              </w:rPr>
              <w:t xml:space="preserve">Comprehensive</w:t>
            </w:r>
          </w:p>
        </w:tc>
        <w:tc>
          <w:tcPr/>
          <w:p>
            <w:pPr>
              <w:pStyle w:val="Compact"/>
            </w:pPr>
            <w:r>
              <w:t xml:space="preserve">B8 — Reform analysis (p. 37)</w:t>
            </w:r>
          </w:p>
        </w:tc>
      </w:tr>
      <w:tr>
        <w:tc>
          <w:tcPr/>
          <w:p>
            <w:pPr>
              <w:pStyle w:val="Compact"/>
            </w:pPr>
            <w:r>
              <w:rPr>
                <w:b/>
                <w:bCs/>
              </w:rPr>
              <w:t xml:space="preserve">Q21</w:t>
            </w:r>
          </w:p>
        </w:tc>
        <w:tc>
          <w:tcPr/>
          <w:p>
            <w:pPr>
              <w:pStyle w:val="Compact"/>
            </w:pPr>
            <w:r>
              <w:t xml:space="preserve">Reform: informality and illicit-trade vulnerability</w:t>
            </w:r>
          </w:p>
        </w:tc>
        <w:tc>
          <w:tcPr/>
          <w:p>
            <w:pPr>
              <w:pStyle w:val="Compact"/>
            </w:pPr>
            <w:r>
              <w:t xml:space="preserve">Spec</w:t>
            </w:r>
          </w:p>
        </w:tc>
        <w:tc>
          <w:tcPr/>
          <w:p>
            <w:pPr>
              <w:pStyle w:val="Compact"/>
            </w:pPr>
            <w:r>
              <w:t xml:space="preserve">Illicit-trade estimates; comparison with VAT/income-tax evasion</w:t>
            </w:r>
          </w:p>
        </w:tc>
        <w:tc>
          <w:tcPr/>
          <w:p>
            <w:pPr>
              <w:pStyle w:val="Compact"/>
            </w:pPr>
            <w:r>
              <w:rPr>
                <w:b/>
                <w:bCs/>
              </w:rPr>
              <w:t xml:space="preserve">Comprehensive</w:t>
            </w:r>
          </w:p>
        </w:tc>
        <w:tc>
          <w:tcPr/>
          <w:p>
            <w:pPr>
              <w:pStyle w:val="Compact"/>
            </w:pPr>
            <w:r>
              <w:t xml:space="preserve">B8 — Reform analysis (p. 37)</w:t>
            </w:r>
          </w:p>
        </w:tc>
      </w:tr>
      <w:tr>
        <w:tc>
          <w:tcPr/>
          <w:p>
            <w:pPr>
              <w:pStyle w:val="Compact"/>
            </w:pPr>
            <w:r>
              <w:rPr>
                <w:b/>
                <w:bCs/>
              </w:rPr>
              <w:t xml:space="preserve">Q22</w:t>
            </w:r>
          </w:p>
        </w:tc>
        <w:tc>
          <w:tcPr/>
          <w:p>
            <w:pPr>
              <w:pStyle w:val="Compact"/>
            </w:pPr>
            <w:r>
              <w:t xml:space="preserve">Design: specific vs ad valorem rate structure</w:t>
            </w:r>
          </w:p>
        </w:tc>
        <w:tc>
          <w:tcPr/>
          <w:p>
            <w:pPr>
              <w:pStyle w:val="Compact"/>
            </w:pPr>
            <w:r>
              <w:t xml:space="preserve">Spec</w:t>
            </w:r>
          </w:p>
        </w:tc>
        <w:tc>
          <w:tcPr/>
          <w:p>
            <w:pPr>
              <w:pStyle w:val="Compact"/>
            </w:pPr>
            <w:r>
              <w:t xml:space="preserve">Schedule structure; program design guidance</w:t>
            </w:r>
          </w:p>
        </w:tc>
        <w:tc>
          <w:tcPr/>
          <w:p>
            <w:pPr>
              <w:pStyle w:val="Compact"/>
            </w:pPr>
            <w:r>
              <w:rPr>
                <w:b/>
                <w:bCs/>
              </w:rPr>
              <w:t xml:space="preserve">Easy</w:t>
            </w:r>
          </w:p>
        </w:tc>
        <w:tc>
          <w:tcPr/>
          <w:p>
            <w:pPr>
              <w:pStyle w:val="Compact"/>
            </w:pPr>
            <w:r>
              <w:t xml:space="preserve">B8 — Design; Part A Q5 (p. 38)</w:t>
            </w:r>
          </w:p>
        </w:tc>
      </w:tr>
      <w:tr>
        <w:tc>
          <w:tcPr/>
          <w:p>
            <w:pPr>
              <w:pStyle w:val="Compact"/>
            </w:pPr>
            <w:r>
              <w:rPr>
                <w:b/>
                <w:bCs/>
              </w:rPr>
              <w:t xml:space="preserve">Q23</w:t>
            </w:r>
          </w:p>
        </w:tc>
        <w:tc>
          <w:tcPr/>
          <w:p>
            <w:pPr>
              <w:pStyle w:val="Compact"/>
            </w:pPr>
            <w:r>
              <w:t xml:space="preserve">Design: indexation of specific rates</w:t>
            </w:r>
          </w:p>
        </w:tc>
        <w:tc>
          <w:tcPr/>
          <w:p>
            <w:pPr>
              <w:pStyle w:val="Compact"/>
            </w:pPr>
            <w:r>
              <w:t xml:space="preserve">Spec</w:t>
            </w:r>
          </w:p>
        </w:tc>
        <w:tc>
          <w:tcPr/>
          <w:p>
            <w:pPr>
              <w:pStyle w:val="Compact"/>
            </w:pPr>
            <w:r>
              <w:t xml:space="preserve">Rate history; CPI; indexation rule</w:t>
            </w:r>
          </w:p>
        </w:tc>
        <w:tc>
          <w:tcPr/>
          <w:p>
            <w:pPr>
              <w:pStyle w:val="Compact"/>
            </w:pPr>
            <w:r>
              <w:rPr>
                <w:b/>
                <w:bCs/>
              </w:rPr>
              <w:t xml:space="preserve">Easy</w:t>
            </w:r>
          </w:p>
        </w:tc>
        <w:tc>
          <w:tcPr/>
          <w:p>
            <w:pPr>
              <w:pStyle w:val="Compact"/>
            </w:pPr>
            <w:r>
              <w:t xml:space="preserve">B8 — Design; Part A Q5 (p. 38)</w:t>
            </w:r>
          </w:p>
        </w:tc>
      </w:tr>
      <w:tr>
        <w:tc>
          <w:tcPr>
            <w:gridSpan w:val="6"/>
          </w:tcPr>
          <w:p>
            <w:pPr>
              <w:pStyle w:val="Compact"/>
            </w:pPr>
            <w:r>
              <w:rPr>
                <w:b/>
                <w:bCs/>
              </w:rPr>
              <w:t xml:space="preserve">Part C — Policy Pathways (sequencing &amp; tractability)</w:t>
            </w:r>
          </w:p>
        </w:tc>
      </w:tr>
      <w:tr>
        <w:tc>
          <w:tcPr/>
          <w:p>
            <w:pPr>
              <w:pStyle w:val="Compact"/>
            </w:pPr>
            <w:r>
              <w:rPr>
                <w:b/>
                <w:bCs/>
              </w:rPr>
              <w:t xml:space="preserve">Q24</w:t>
            </w:r>
          </w:p>
        </w:tc>
        <w:tc>
          <w:tcPr/>
          <w:p>
            <w:pPr>
              <w:pStyle w:val="Compact"/>
            </w:pPr>
            <w:r>
              <w:t xml:space="preserve">Sequencing of candidate reforms</w:t>
            </w:r>
          </w:p>
        </w:tc>
        <w:tc>
          <w:tcPr/>
          <w:p>
            <w:pPr>
              <w:pStyle w:val="Compact"/>
            </w:pPr>
            <w:r>
              <w:t xml:space="preserve">Added</w:t>
            </w:r>
          </w:p>
        </w:tc>
        <w:tc>
          <w:tcPr/>
          <w:p>
            <w:pPr>
              <w:pStyle w:val="Compact"/>
            </w:pPr>
            <w:r>
              <w:t xml:space="preserve">Part A + Part B candidate lists; yield and readiness</w:t>
            </w:r>
          </w:p>
        </w:tc>
        <w:tc>
          <w:tcPr/>
          <w:p>
            <w:pPr>
              <w:pStyle w:val="Compact"/>
            </w:pPr>
            <w:r>
              <w:rPr>
                <w:b/>
                <w:bCs/>
              </w:rPr>
              <w:t xml:space="preserve">Both</w:t>
            </w:r>
          </w:p>
        </w:tc>
        <w:tc>
          <w:tcPr/>
          <w:p>
            <w:pPr>
              <w:pStyle w:val="Compact"/>
            </w:pPr>
            <w:r>
              <w:t xml:space="preserve">C1, C5 / Part C key questions (p. 41)</w:t>
            </w:r>
          </w:p>
        </w:tc>
      </w:tr>
      <w:tr>
        <w:tc>
          <w:tcPr/>
          <w:p>
            <w:pPr>
              <w:pStyle w:val="Compact"/>
            </w:pPr>
            <w:r>
              <w:rPr>
                <w:b/>
                <w:bCs/>
              </w:rPr>
              <w:t xml:space="preserve">Q25</w:t>
            </w:r>
          </w:p>
        </w:tc>
        <w:tc>
          <w:tcPr/>
          <w:p>
            <w:pPr>
              <w:pStyle w:val="Compact"/>
            </w:pPr>
            <w:r>
              <w:t xml:space="preserve">Tractability — which reforms survive contact with politics</w:t>
            </w:r>
          </w:p>
        </w:tc>
        <w:tc>
          <w:tcPr/>
          <w:p>
            <w:pPr>
              <w:pStyle w:val="Compact"/>
            </w:pPr>
            <w:r>
              <w:t xml:space="preserve">Added</w:t>
            </w:r>
          </w:p>
        </w:tc>
        <w:tc>
          <w:tcPr/>
          <w:p>
            <w:pPr>
              <w:pStyle w:val="Compact"/>
            </w:pPr>
            <w:r>
              <w:t xml:space="preserve">Schedule structure (winners/losers); externality decomposition</w:t>
            </w:r>
          </w:p>
        </w:tc>
        <w:tc>
          <w:tcPr/>
          <w:p>
            <w:pPr>
              <w:pStyle w:val="Compact"/>
            </w:pPr>
            <w:r>
              <w:rPr>
                <w:b/>
                <w:bCs/>
              </w:rPr>
              <w:t xml:space="preserve">Comprehensive</w:t>
            </w:r>
          </w:p>
        </w:tc>
        <w:tc>
          <w:tcPr/>
          <w:p>
            <w:pPr>
              <w:pStyle w:val="Compact"/>
            </w:pPr>
            <w:r>
              <w:t xml:space="preserve">C4 / Part C key questions (p. 41)</w:t>
            </w:r>
          </w:p>
        </w:tc>
      </w:tr>
      <w:tr>
        <w:tc>
          <w:tcPr/>
          <w:p>
            <w:pPr>
              <w:pStyle w:val="Compact"/>
            </w:pPr>
            <w:r>
              <w:rPr>
                <w:b/>
                <w:bCs/>
              </w:rPr>
              <w:t xml:space="preserve">Q26</w:t>
            </w:r>
          </w:p>
        </w:tc>
        <w:tc>
          <w:tcPr/>
          <w:p>
            <w:pPr>
              <w:pStyle w:val="Compact"/>
            </w:pPr>
            <w:r>
              <w:t xml:space="preserve">Compensation — recycling design and timing</w:t>
            </w:r>
          </w:p>
        </w:tc>
        <w:tc>
          <w:tcPr/>
          <w:p>
            <w:pPr>
              <w:pStyle w:val="Compact"/>
            </w:pPr>
            <w:r>
              <w:t xml:space="preserve">Added</w:t>
            </w:r>
          </w:p>
        </w:tc>
        <w:tc>
          <w:tcPr/>
          <w:p>
            <w:pPr>
              <w:pStyle w:val="Compact"/>
            </w:pPr>
            <w:r>
              <w:t xml:space="preserve">Incidence (Q19); social-protection delivery channels</w:t>
            </w:r>
          </w:p>
        </w:tc>
        <w:tc>
          <w:tcPr/>
          <w:p>
            <w:pPr>
              <w:pStyle w:val="Compact"/>
            </w:pPr>
            <w:r>
              <w:rPr>
                <w:b/>
                <w:bCs/>
              </w:rPr>
              <w:t xml:space="preserve">Comprehensive</w:t>
            </w:r>
          </w:p>
        </w:tc>
        <w:tc>
          <w:tcPr/>
          <w:p>
            <w:pPr>
              <w:pStyle w:val="Compact"/>
            </w:pPr>
            <w:r>
              <w:t xml:space="preserve">C4, C5 / Part C key questions (p. 41)</w:t>
            </w:r>
          </w:p>
        </w:tc>
      </w:tr>
      <w:tr>
        <w:tc>
          <w:tcPr/>
          <w:p>
            <w:pPr>
              <w:pStyle w:val="Compact"/>
            </w:pPr>
            <w:r>
              <w:rPr>
                <w:b/>
                <w:bCs/>
              </w:rPr>
              <w:t xml:space="preserve">Q27</w:t>
            </w:r>
          </w:p>
        </w:tc>
        <w:tc>
          <w:tcPr/>
          <w:p>
            <w:pPr>
              <w:pStyle w:val="Compact"/>
            </w:pPr>
            <w:r>
              <w:t xml:space="preserve">Framing — health/road-safety vs climate justification</w:t>
            </w:r>
          </w:p>
        </w:tc>
        <w:tc>
          <w:tcPr/>
          <w:p>
            <w:pPr>
              <w:pStyle w:val="Compact"/>
            </w:pPr>
            <w:r>
              <w:t xml:space="preserve">Added</w:t>
            </w:r>
          </w:p>
        </w:tc>
        <w:tc>
          <w:tcPr/>
          <w:p>
            <w:pPr>
              <w:pStyle w:val="Compact"/>
            </w:pPr>
            <w:r>
              <w:t xml:space="preserve">Externality decomposition (Q11); polling/context</w:t>
            </w:r>
          </w:p>
        </w:tc>
        <w:tc>
          <w:tcPr/>
          <w:p>
            <w:pPr>
              <w:pStyle w:val="Compact"/>
            </w:pPr>
            <w:r>
              <w:rPr>
                <w:b/>
                <w:bCs/>
              </w:rPr>
              <w:t xml:space="preserve">Easy</w:t>
            </w:r>
          </w:p>
        </w:tc>
        <w:tc>
          <w:tcPr/>
          <w:p>
            <w:pPr>
              <w:pStyle w:val="Compact"/>
            </w:pPr>
            <w:r>
              <w:t xml:space="preserve">C3, C4 / Part C key questions (p. 41)</w:t>
            </w:r>
          </w:p>
        </w:tc>
      </w:tr>
      <w:tr>
        <w:tc>
          <w:tcPr/>
          <w:p>
            <w:pPr>
              <w:pStyle w:val="Compact"/>
            </w:pPr>
            <w:r>
              <w:rPr>
                <w:b/>
                <w:bCs/>
              </w:rPr>
              <w:t xml:space="preserve">Q28</w:t>
            </w:r>
          </w:p>
        </w:tc>
        <w:tc>
          <w:tcPr/>
          <w:p>
            <w:pPr>
              <w:pStyle w:val="Compact"/>
            </w:pPr>
            <w:r>
              <w:t xml:space="preserve">Comparators — peer-country experience</w:t>
            </w:r>
          </w:p>
        </w:tc>
        <w:tc>
          <w:tcPr/>
          <w:p>
            <w:pPr>
              <w:pStyle w:val="Compact"/>
            </w:pPr>
            <w:r>
              <w:t xml:space="preserve">Added</w:t>
            </w:r>
          </w:p>
        </w:tc>
        <w:tc>
          <w:tcPr/>
          <w:p>
            <w:pPr>
              <w:pStyle w:val="Compact"/>
            </w:pPr>
            <w:r>
              <w:t xml:space="preserve">Comparator-country case material (B3, C3)</w:t>
            </w:r>
          </w:p>
        </w:tc>
        <w:tc>
          <w:tcPr/>
          <w:p>
            <w:pPr>
              <w:pStyle w:val="Compact"/>
            </w:pPr>
            <w:r>
              <w:rPr>
                <w:b/>
                <w:bCs/>
              </w:rPr>
              <w:t xml:space="preserve">Easy</w:t>
            </w:r>
          </w:p>
        </w:tc>
        <w:tc>
          <w:tcPr/>
          <w:p>
            <w:pPr>
              <w:pStyle w:val="Compact"/>
            </w:pPr>
            <w:r>
              <w:t xml:space="preserve">C3 / Part C key questions (p. 41)</w:t>
            </w:r>
          </w:p>
        </w:tc>
      </w:tr>
    </w:tbl>
    <w:p>
      <w:pPr>
        <w:pStyle w:val="BodyText"/>
      </w:pPr>
      <w:r>
        <w:rPr>
          <w:b/>
          <w:bCs/>
          <w:i/>
          <w:iCs/>
        </w:rPr>
        <w:t xml:space="preserve">Key.</w:t>
      </w:r>
      <w:r>
        <w:rPr>
          <w:i/>
          <w:iCs/>
        </w:rPr>
        <w:t xml:space="preserve"> </w:t>
      </w:r>
      <w:r>
        <w:rPr>
          <w:i/>
          <w:iCs/>
        </w:rPr>
        <w:t xml:space="preserve">In spec: “Spec” = inherited from the climate and health programs’ existing capacities; “Added” = introduced by the diagnostic. Version:</w:t>
      </w:r>
      <w:r>
        <w:rPr>
          <w:i/>
          <w:iCs/>
        </w:rPr>
        <w:t xml:space="preserve"> </w:t>
      </w:r>
      <w:r>
        <w:rPr>
          <w:b/>
          <w:bCs/>
          <w:i/>
          <w:iCs/>
        </w:rPr>
        <w:t xml:space="preserve">Easy</w:t>
      </w:r>
      <w:r>
        <w:rPr>
          <w:i/>
          <w:iCs/>
        </w:rPr>
        <w:t xml:space="preserve"> </w:t>
      </w:r>
      <w:r>
        <w:rPr>
          <w:i/>
          <w:iCs/>
        </w:rPr>
        <w:t xml:space="preserve">= answerable in a simplified Part A from the schedule alone;</w:t>
      </w:r>
      <w:r>
        <w:rPr>
          <w:i/>
          <w:iCs/>
        </w:rPr>
        <w:t xml:space="preserve"> </w:t>
      </w:r>
      <w:r>
        <w:rPr>
          <w:b/>
          <w:bCs/>
          <w:i/>
          <w:iCs/>
        </w:rPr>
        <w:t xml:space="preserve">Comprehensive</w:t>
      </w:r>
      <w:r>
        <w:rPr>
          <w:i/>
          <w:iCs/>
        </w:rPr>
        <w:t xml:space="preserve"> </w:t>
      </w:r>
      <w:r>
        <w:rPr>
          <w:i/>
          <w:iCs/>
        </w:rPr>
        <w:t xml:space="preserve">= needs fuller data and integration with CPAT, the Climate &amp; Health Program and IMF GEPR;</w:t>
      </w:r>
      <w:r>
        <w:rPr>
          <w:i/>
          <w:iCs/>
        </w:rPr>
        <w:t xml:space="preserve"> </w:t>
      </w:r>
      <w:r>
        <w:rPr>
          <w:b/>
          <w:bCs/>
          <w:i/>
          <w:iCs/>
        </w:rPr>
        <w:t xml:space="preserve">Both</w:t>
      </w:r>
      <w:r>
        <w:rPr>
          <w:i/>
          <w:iCs/>
        </w:rPr>
        <w:t xml:space="preserve"> </w:t>
      </w:r>
      <w:r>
        <w:rPr>
          <w:i/>
          <w:iCs/>
        </w:rPr>
        <w:t xml:space="preserve">= a core question deepened in the comprehensive version.</w:t>
      </w:r>
    </w:p>
    <w:bookmarkEnd w:id="19"/>
    <w:bookmarkStart w:id="20" w:name="Xce4c8233e6a8c5af916a2ae7a42e7f4847d6eec"/>
    <w:p>
      <w:pPr>
        <w:pStyle w:val="Heading2"/>
      </w:pPr>
      <w:r>
        <w:t xml:space="preserve">Why a synthesis layer is the contribution</w:t>
      </w:r>
    </w:p>
    <w:p>
      <w:pPr>
        <w:pStyle w:val="FirstParagraph"/>
      </w:pPr>
      <w:r>
        <w:t xml:space="preserve">The methodology to do this work in developing-country settings already exists. What is missing is the synthesis. CPAT produces high-quality estimates of mitigation, revenue, household incidence and macroeconomic effects across roughly two hundred countries — but CPAT is a model, not a report. The Climate and Health Program produces vulnerability assessments, mortality estimates and best-buy guidance — but at the sector rather than the system level. The IMF Getting Energy Prices Right work produces global estimates of corrective fuel-tax rates — but lacks the country-specific texture needed to defend a reform politically. Country transport teams produce project-level cost-benefit appraisal — at the wrong unit of analysis for fuel-tax design. Tax-policy teams produce revenue projections and tax-expenditure inventories — without externality reasoning. The Public Finance Review reads the excise schedule by instrument — without the system-level externality question.</w:t>
      </w:r>
    </w:p>
    <w:p>
      <w:pPr>
        <w:pStyle w:val="BodyText"/>
      </w:pPr>
      <w:r>
        <w:t xml:space="preserve">The diagnostic does not duplicate any of these. It synthesises. The discipline is its main contribution: a single value of statistical life, a single carbon shadow price, a single set of accident-cost parameters, applied consistently across all the sectoral inputs in a single country, presented in a fixed-structure report that allows comparison across countries and incremental improvement of any single section without disturbing the rest.</w:t>
      </w:r>
    </w:p>
    <w:p>
      <w:pPr>
        <w:pStyle w:val="BodyText"/>
      </w:pPr>
      <w:r>
        <w:t xml:space="preserve">Three practical steps would move the proposal from concept to product: a methodology note of perhaps thirty pages formalising the framework and fixing the default parameters; a fixed Word template populated from a common parameter spreadsheet; and two pilots — one Tier 1 (Colombia or Chile, both with strong analytical infrastructure) and one Tier 2 (Uganda fits existing World Bank engagement, and the Part A diagnostic is already drafted). Once the methodology and template are in place, a country team should be able to produce a draft report in two to three weeks using existing inputs rather than three months.</w:t>
      </w:r>
    </w:p>
    <w:p>
      <w:pPr>
        <w:pStyle w:val="BodyText"/>
      </w:pPr>
      <w:r>
        <w:rPr>
          <w:i/>
          <w:iCs/>
        </w:rPr>
        <w:t xml:space="preserve">The diagnostic does not require new institutional architecture. It sits between existing products as a synthesis layer.</w:t>
      </w:r>
    </w:p>
    <w:p>
      <w:pPr>
        <w:pStyle w:val="BodyText"/>
      </w:pPr>
      <w:r>
        <w:rPr>
          <w:b/>
          <w:bCs/>
        </w:rPr>
        <w:t xml:space="preserve">PART A</w:t>
      </w:r>
    </w:p>
    <w:p>
      <w:pPr>
        <w:pStyle w:val="BodyText"/>
      </w:pPr>
      <w:r>
        <w:rPr>
          <w:b/>
          <w:bCs/>
        </w:rPr>
        <w:t xml:space="preserve">Excise Diagnostic</w:t>
      </w:r>
    </w:p>
    <w:p>
      <w:pPr>
        <w:pStyle w:val="BodyText"/>
      </w:pPr>
      <w:r>
        <w:rPr>
          <w:i/>
          <w:iCs/>
        </w:rPr>
        <w:t xml:space="preserve">A simple framework for reading a country’s excise schedule, with worked diagnostics for Uganda and Sierra Leone</w:t>
      </w:r>
    </w:p>
    <w:bookmarkEnd w:id="20"/>
    <w:bookmarkEnd w:id="21"/>
    <w:bookmarkStart w:id="23" w:name="X92696ea46ae5c2c57f5098d102d4cb0a9274210"/>
    <w:p>
      <w:pPr>
        <w:pStyle w:val="Heading1"/>
      </w:pPr>
      <w:r>
        <w:t xml:space="preserve">A1. What an excise diagnostic is, and what it is for</w:t>
      </w:r>
    </w:p>
    <w:p>
      <w:pPr>
        <w:pStyle w:val="FirstParagraph"/>
      </w:pPr>
      <w:r>
        <w:t xml:space="preserve">An excise diagnostic is a structured snapshot of a country’s excise duty schedule, organised so that the schedule’s underlying logic — and where that logic strains — becomes visible at a glance. It is not a revenue forecast, an incidence study, or a fiscal-impact assessment. It is a diagnostic in the medical sense: a clinician’s first-pass examination, designed to surface what is there, what is missing, and what is moving.</w:t>
      </w:r>
    </w:p>
    <w:p>
      <w:pPr>
        <w:pStyle w:val="BodyText"/>
      </w:pPr>
      <w:r>
        <w:t xml:space="preserve">Most excise schedules in low- and middle-income countries are accretive documents. They begin life narrow, organised around a small set of products that were easy to tax at the factory gate or the port a generation ago — alcohol, tobacco, fuel, perhaps a handful of luxury goods. They then grow line by line as Finance Ministries hunt for revenue, as health ministries push for tobacco and alcohol increases, as environment ministries discover plastics, and as digital and financial-services regulators try to drag mobile money and over-the-top services into the net. The result, after a decade or two of annual amendments, is a schedule that nobody fully owns and that few can read end-to-end.</w:t>
      </w:r>
    </w:p>
    <w:p>
      <w:pPr>
        <w:pStyle w:val="BodyText"/>
      </w:pPr>
      <w:r>
        <w:t xml:space="preserve">The diagnostic addresses that legibility problem. It does five things.</w:t>
      </w:r>
    </w:p>
    <w:p>
      <w:pPr>
        <w:pStyle w:val="BodyText"/>
      </w:pPr>
      <w:r>
        <w:rPr>
          <w:b/>
          <w:bCs/>
        </w:rPr>
        <w:t xml:space="preserve">Categorises.</w:t>
      </w:r>
      <w:r>
        <w:t xml:space="preserve"> </w:t>
      </w:r>
      <w:r>
        <w:t xml:space="preserve">It groups every line in the schedule into a small set of policy categories — energy and environment, health (tobacco, alcohol, sugar-sweetened beverages), luxury, telecommunications, financial transactions, and industrial-input residuals. The categorisation forces an answer to the question “what is this excise for?” — a question schedules rarely answer for themselves.</w:t>
      </w:r>
    </w:p>
    <w:p>
      <w:pPr>
        <w:pStyle w:val="BodyText"/>
      </w:pPr>
      <w:r>
        <w:rPr>
          <w:b/>
          <w:bCs/>
        </w:rPr>
        <w:t xml:space="preserve">Standardises.</w:t>
      </w:r>
      <w:r>
        <w:t xml:space="preserve"> </w:t>
      </w:r>
      <w:r>
        <w:t xml:space="preserve">It records each line on a consistent set of dimensions: rate, structure (specific, ad valorem, hybrid), differentiation (by origin, content, user, ABV band), and recent changes. This makes the schedule comparable across countries, across time, and across categories.</w:t>
      </w:r>
    </w:p>
    <w:p>
      <w:pPr>
        <w:pStyle w:val="BodyText"/>
      </w:pPr>
      <w:r>
        <w:rPr>
          <w:b/>
          <w:bCs/>
        </w:rPr>
        <w:t xml:space="preserve">Surfaces erosion.</w:t>
      </w:r>
      <w:r>
        <w:t xml:space="preserve"> </w:t>
      </w:r>
      <w:r>
        <w:t xml:space="preserve">Specific rates that are not indexed to inflation lose real value year by year. The diagnostic tracks the catch-up amendments and makes the erosion-and-restoration cycle visible.</w:t>
      </w:r>
    </w:p>
    <w:p>
      <w:pPr>
        <w:pStyle w:val="BodyText"/>
      </w:pPr>
      <w:r>
        <w:rPr>
          <w:b/>
          <w:bCs/>
        </w:rPr>
        <w:t xml:space="preserve">Surfaces gaps.</w:t>
      </w:r>
      <w:r>
        <w:t xml:space="preserve"> </w:t>
      </w:r>
      <w:r>
        <w:t xml:space="preserve">When the typology is laid alongside the schedule, missing categories become obvious. A country with no plastics excise, no SSB excise, or no e-cigarette line in 2026 is making a policy choice — and the diagnostic puts that choice on the page.</w:t>
      </w:r>
    </w:p>
    <w:p>
      <w:pPr>
        <w:pStyle w:val="BodyText"/>
      </w:pPr>
      <w:r>
        <w:rPr>
          <w:b/>
          <w:bCs/>
        </w:rPr>
        <w:t xml:space="preserve">Surfaces incoherence.</w:t>
      </w:r>
      <w:r>
        <w:t xml:space="preserve"> </w:t>
      </w:r>
      <w:r>
        <w:t xml:space="preserve">Differentiation devices often accumulate without coordination. Local-content discounts, ABV bands, origin distinctions, user carve-outs — when stacked, they can produce rate inversions, arbitrage opportunities, and administrative friction. The diagnostic does not solve these problems but makes them visible.</w:t>
      </w:r>
    </w:p>
    <w:p>
      <w:pPr>
        <w:pStyle w:val="BodyText"/>
      </w:pPr>
      <w:r>
        <w:t xml:space="preserve">The diagnostic is intentionally pre-analytical. It does not say whether a rate is too high or too low, whether a category is justified, or whether a reform is desirable. It produces a clean, comparable, structured representation of the schedule, on which subsequent analysis — revenue projections, incidence work, behavioural-response modelling, country-engagement advice — can build. In Hayek’s sense, it is a way of organising tacit knowledge that already exists in the schedule but is not yet usable.</w:t>
      </w:r>
    </w:p>
    <w:bookmarkStart w:id="22" w:name="key-questions-part-a-answers"/>
    <w:p>
      <w:pPr>
        <w:pStyle w:val="Heading2"/>
      </w:pPr>
      <w:r>
        <w:t xml:space="preserve">Key questions Part A answers</w:t>
      </w:r>
    </w:p>
    <w:p>
      <w:pPr>
        <w:pStyle w:val="FirstParagraph"/>
      </w:pPr>
      <w:r>
        <w:rPr>
          <w:i/>
          <w:iCs/>
        </w:rPr>
        <w:t xml:space="preserve">Part A is built to answer a short list of instrument-level questions. They are pre-analytical: each can be answered by reading and standardising the schedule, without modelling behaviour or adjudicating whether a rate is right.</w:t>
      </w:r>
    </w:p>
    <w:p>
      <w:pPr>
        <w:numPr>
          <w:ilvl w:val="0"/>
          <w:numId w:val="1001"/>
        </w:numPr>
      </w:pPr>
      <w:r>
        <w:rPr>
          <w:b/>
          <w:bCs/>
        </w:rPr>
        <w:t xml:space="preserve">Coverage.</w:t>
      </w:r>
      <w:r>
        <w:t xml:space="preserve"> </w:t>
      </w:r>
      <w:r>
        <w:t xml:space="preserve">What does the schedule actually tax — which goods and services carry an excise, and which externality-relevant categories (carbon-bearing fuels, SSBs, plastics, e-cigarettes) are absent?</w:t>
      </w:r>
    </w:p>
    <w:p>
      <w:pPr>
        <w:numPr>
          <w:ilvl w:val="0"/>
          <w:numId w:val="1001"/>
        </w:numPr>
      </w:pPr>
      <w:r>
        <w:rPr>
          <w:b/>
          <w:bCs/>
        </w:rPr>
        <w:t xml:space="preserve">Structure.</w:t>
      </w:r>
      <w:r>
        <w:t xml:space="preserve"> </w:t>
      </w:r>
      <w:r>
        <w:t xml:space="preserve">Is each line specific, ad valorem or hybrid, and how is it differentiated — by origin, content, user or ABV band?</w:t>
      </w:r>
    </w:p>
    <w:p>
      <w:pPr>
        <w:numPr>
          <w:ilvl w:val="0"/>
          <w:numId w:val="1001"/>
        </w:numPr>
      </w:pPr>
      <w:r>
        <w:rPr>
          <w:b/>
          <w:bCs/>
        </w:rPr>
        <w:t xml:space="preserve">Intensity.</w:t>
      </w:r>
      <w:r>
        <w:t xml:space="preserve"> </w:t>
      </w:r>
      <w:r>
        <w:t xml:space="preserve">How heavily is each line taxed on three comparable measures — excise per standardised physical unit in US dollars, excise as a share of consumer price, and implied excise revenue as a share of GDP?</w:t>
      </w:r>
    </w:p>
    <w:p>
      <w:pPr>
        <w:numPr>
          <w:ilvl w:val="0"/>
          <w:numId w:val="1001"/>
        </w:numPr>
      </w:pPr>
      <w:r>
        <w:rPr>
          <w:b/>
          <w:bCs/>
        </w:rPr>
        <w:t xml:space="preserve">Benchmarking.</w:t>
      </w:r>
      <w:r>
        <w:t xml:space="preserve"> </w:t>
      </w:r>
      <w:r>
        <w:t xml:space="preserve">How do those intensities compare with regional peers, OECD averages and WHO or IMF reference levels?</w:t>
      </w:r>
    </w:p>
    <w:p>
      <w:pPr>
        <w:numPr>
          <w:ilvl w:val="0"/>
          <w:numId w:val="1001"/>
        </w:numPr>
      </w:pPr>
      <w:r>
        <w:rPr>
          <w:b/>
          <w:bCs/>
        </w:rPr>
        <w:t xml:space="preserve">Erosion.</w:t>
      </w:r>
      <w:r>
        <w:t xml:space="preserve"> </w:t>
      </w:r>
      <w:r>
        <w:t xml:space="preserve">Which specific rates are losing real value to inflation, and what is the erosion-and-restoration cycle when the year-by-year trajectory is laid out?</w:t>
      </w:r>
    </w:p>
    <w:p>
      <w:pPr>
        <w:numPr>
          <w:ilvl w:val="0"/>
          <w:numId w:val="1001"/>
        </w:numPr>
      </w:pPr>
      <w:r>
        <w:rPr>
          <w:b/>
          <w:bCs/>
        </w:rPr>
        <w:t xml:space="preserve">Coherence.</w:t>
      </w:r>
      <w:r>
        <w:t xml:space="preserve"> </w:t>
      </w:r>
      <w:r>
        <w:t xml:space="preserve">Where do differentiation devices — local-content discounts, ABV bands, origin distinctions — stack into rate inversions, arbitrage opportunities or administrative friction?</w:t>
      </w:r>
    </w:p>
    <w:p>
      <w:pPr>
        <w:numPr>
          <w:ilvl w:val="0"/>
          <w:numId w:val="1001"/>
        </w:numPr>
      </w:pPr>
      <w:r>
        <w:rPr>
          <w:b/>
          <w:bCs/>
        </w:rPr>
        <w:t xml:space="preserve">Price tracking.</w:t>
      </w:r>
      <w:r>
        <w:t xml:space="preserve"> </w:t>
      </w:r>
      <w:r>
        <w:t xml:space="preserve">For health-related products, how has the excise-inclusive price moved relative to general CPI inflation and to household incomes — a measure of whether taxes are keeping pace and continuing to discourage consumption?</w:t>
      </w:r>
    </w:p>
    <w:p>
      <w:pPr>
        <w:pStyle w:val="FirstParagraph"/>
      </w:pPr>
      <w:r>
        <w:t xml:space="preserve">The price-tracking question (Q7) is shared with the health program, which routinely compares the price of health-related products with CPI inflation and with household incomes. The climate program holds the equivalent data for fuels but does not yet report it; bringing the two onto the same affordability measure is one of the concrete gains from a joint offering.</w:t>
      </w:r>
    </w:p>
    <w:bookmarkEnd w:id="22"/>
    <w:bookmarkEnd w:id="23"/>
    <w:bookmarkStart w:id="27" w:name="a2.-three-measures-for-comparability"/>
    <w:p>
      <w:pPr>
        <w:pStyle w:val="Heading1"/>
      </w:pPr>
      <w:r>
        <w:t xml:space="preserve">A2. Three measures for comparability</w:t>
      </w:r>
    </w:p>
    <w:p>
      <w:pPr>
        <w:pStyle w:val="FirstParagraph"/>
      </w:pPr>
      <w:r>
        <w:t xml:space="preserve">The schedule on its own — a list of rates, in local-currency units, against locally defined products — is not directly comparable across countries, across time, or across sectors. To make excise lines comparable, this paper uses three measures that scale each rate in a different way.</w:t>
      </w:r>
    </w:p>
    <w:bookmarkStart w:id="24" w:name="Xea0fb464b90c29be29d01f0b5be1a742510fd99"/>
    <w:p>
      <w:pPr>
        <w:pStyle w:val="Heading3"/>
      </w:pPr>
      <w:r>
        <w:t xml:space="preserve">A2.1 Excise per standardised physical unit (USD)</w:t>
      </w:r>
    </w:p>
    <w:p>
      <w:pPr>
        <w:pStyle w:val="FirstParagraph"/>
      </w:pPr>
      <w:r>
        <w:t xml:space="preserve">The rate, converted to US dollars, expressed per physical unit appropriate to the line: per litre for fuel, per litre of pure alcohol for alcoholic beverages, per pack of 20 sticks for cigarettes, per kilogram for cement and tobacco leaf. This is the most robust comparator and the easiest to cross-reference against international benchmarks (OECD averages, regional peers, WHO recommendations). It is unaffected by the differentiation structure — a hybrid higher-of rate is converted to the binding rate at typical product prices, an ABV-banded rate is evaluated at a representative ABV — and so cuts through architectural differences between schedules. Its weakness is that it loses information about whether the rate is specific or ad valorem, which matters for inflation behaviour.</w:t>
      </w:r>
    </w:p>
    <w:bookmarkEnd w:id="24"/>
    <w:bookmarkStart w:id="25" w:name="X42c67033c5002c01660ab9f04011a8e2c23a170"/>
    <w:p>
      <w:pPr>
        <w:pStyle w:val="Heading3"/>
      </w:pPr>
      <w:r>
        <w:t xml:space="preserve">A2.2 Excise as a percentage of consumer price</w:t>
      </w:r>
    </w:p>
    <w:p>
      <w:pPr>
        <w:pStyle w:val="FirstParagraph"/>
      </w:pPr>
      <w:r>
        <w:t xml:space="preserve">The rate divided by the typical retail price of the taxed good — pump price for fuel, retail pack price for cigarettes, retail bottle price for alcohol and SSBs. This measure speaks directly to affordability and to pass-through: it is the share of what the consumer pays that goes to excise. It is the standard health-policy comparator (the WHO benchmark for tobacco is at least 75 per cent of retail price as excise) and the standard energy-policy comparator (OECD fuel excise typically runs 30 to 50 per cent of pump price). Its weakness is that it depends on the chosen reference price, which moves materially within a year, between regions of a country, and between branded and unbranded segments.</w:t>
      </w:r>
    </w:p>
    <w:bookmarkEnd w:id="25"/>
    <w:bookmarkStart w:id="26" w:name="X77731d4173f275a2b32bf63bdb4fefd9a224522"/>
    <w:p>
      <w:pPr>
        <w:pStyle w:val="Heading3"/>
      </w:pPr>
      <w:r>
        <w:t xml:space="preserve">A2.3 Implied excise revenue as a percentage of GDP</w:t>
      </w:r>
    </w:p>
    <w:p>
      <w:pPr>
        <w:pStyle w:val="FirstParagraph"/>
      </w:pPr>
      <w:r>
        <w:t xml:space="preserve">Rate multiplied by estimated annual consumption volume, divided by nominal GDP. This is the macroeconomic comparator — the measure that tells the Finance Ministry how much revenue the line generates relative to the size of the economy. It is the most informative measure for international fiscal comparisons (regional excise revenue ratios, IMF tax-effort benchmarks) but also the most error-prone, because it depends on consumption volumes that are usually not published at the tariff-line level. Implied figures are sensitive to volume assumptions; ranges are reported where the volume is uncertain. Where reported revenue is available, it should be preferred over implied figures; this paper uses implied figures throughout because line-level revenue is not published in either Uganda or Sierra Leone.</w:t>
      </w:r>
    </w:p>
    <w:p>
      <w:pPr>
        <w:pStyle w:val="BodyText"/>
      </w:pPr>
      <w:r>
        <w:t xml:space="preserve">The three measures are complementary. The $/unit measure is best for international comparison; the % of consumer price measure is best for domestic policy debate; the % of GDP measure is best for macro-fiscal framing. Read together they triangulate the policy intensity of an excise line: a rate that looks low in $/unit terms but high in % of consumer price terms tells a different story than one that looks the opposite way around.</w:t>
      </w:r>
    </w:p>
    <w:bookmarkEnd w:id="26"/>
    <w:bookmarkEnd w:id="27"/>
    <w:bookmarkStart w:id="38" w:name="a3.-methodology"/>
    <w:p>
      <w:pPr>
        <w:pStyle w:val="Heading1"/>
      </w:pPr>
      <w:r>
        <w:t xml:space="preserve">A3. Methodology</w:t>
      </w:r>
    </w:p>
    <w:bookmarkStart w:id="28" w:name="a3.1-coverage"/>
    <w:p>
      <w:pPr>
        <w:pStyle w:val="Heading3"/>
      </w:pPr>
      <w:r>
        <w:t xml:space="preserve">A3.1 Coverage</w:t>
      </w:r>
    </w:p>
    <w:p>
      <w:pPr>
        <w:pStyle w:val="FirstParagraph"/>
      </w:pPr>
      <w:r>
        <w:t xml:space="preserve">The diagnostic covers two countries — Uganda and Sierra Leone — at a single point in time, the law in force on 27 April 2026. For Uganda this is the Excise Duty Act, 2014 as amended through the Excise Duty (Amendment) Acts (No. 1) and (No. 2), 2025, both effective from 1 July 2025. The Excise Duty (Amendment) Bill, 2026 had been passed by Parliament but, as of the cut-off date, had not received presidential assent and is therefore not in force. For Sierra Leone the position is the Excise Act, 1982 as amended through the Finance Act, 2026 — assented on 29 December 2025, gazetted 7 January 2026, effective from 1 January 2026.</w:t>
      </w:r>
    </w:p>
    <w:p>
      <w:pPr>
        <w:pStyle w:val="BodyText"/>
      </w:pPr>
      <w:r>
        <w:t xml:space="preserve">Within each schedule, every excisable line is included. Where lines have been administratively grouped (e.g. tobacco substitutes alongside cigars), the grouping in the schedule is preserved. The diagnostic also notes adjacent fiscal instruments that function as excises in economic substance — Sierra Leone’s regulatory cellular levy under the Finance Act, 2023, and the FA2026 vehicle annual circulation levy — even where they sit outside the Excise Act.</w:t>
      </w:r>
    </w:p>
    <w:bookmarkEnd w:id="28"/>
    <w:bookmarkStart w:id="29" w:name="a3.2-typology"/>
    <w:p>
      <w:pPr>
        <w:pStyle w:val="Heading3"/>
      </w:pPr>
      <w:r>
        <w:t xml:space="preserve">A3.2 Typology</w:t>
      </w:r>
    </w:p>
    <w:p>
      <w:pPr>
        <w:pStyle w:val="FirstParagraph"/>
      </w:pPr>
      <w:r>
        <w:t xml:space="preserve">Each line is assigned to one of seven categories: energy and environment; health (tobacco, alcohol, sugar-sweetened beverages); luxury; telecommunications and digital; financial transactions; industrial-input and “nuisance” residuals; and resource / extractive. The categorisation is by stated or implicit policy rationale, not by HS code or schedule placement. Lines that could fit two categories are assigned to the dominant rationale (a vehicle registration levy goes under transport / energy rather than under luxury; a gambling excise goes under health rather than under luxury). A small number of lines — procedural framework provisions, payment-window rules — are categorised separately as “procedural”.</w:t>
      </w:r>
    </w:p>
    <w:bookmarkEnd w:id="29"/>
    <w:bookmarkStart w:id="30" w:name="a3.3-recording-each-line"/>
    <w:p>
      <w:pPr>
        <w:pStyle w:val="Heading3"/>
      </w:pPr>
      <w:r>
        <w:t xml:space="preserve">A3.3 Recording each line</w:t>
      </w:r>
    </w:p>
    <w:p>
      <w:pPr>
        <w:pStyle w:val="FirstParagraph"/>
      </w:pPr>
      <w:r>
        <w:t xml:space="preserve">Each line is recorded on five fields: category (per the typology above); item (the name of the excisable good or service as it appears in the schedule); current rate (in local currency units, at the cut-off date); structure and differentiation (specific / ad valorem / hybrid; differentiation by origin, content, user, ABV band, etc.); and recent changes (the trajectory of the line since 2020, with each amendment cycle noted, plus any pending bill).</w:t>
      </w:r>
    </w:p>
    <w:bookmarkEnd w:id="30"/>
    <w:bookmarkStart w:id="36" w:name="a3.4-computing-the-three-measures"/>
    <w:p>
      <w:pPr>
        <w:pStyle w:val="Heading3"/>
      </w:pPr>
      <w:r>
        <w:t xml:space="preserve">A3.4 Computing the three measures</w:t>
      </w:r>
    </w:p>
    <w:bookmarkStart w:id="31" w:name="currency-conversion"/>
    <w:p>
      <w:pPr>
        <w:pStyle w:val="Heading4"/>
      </w:pPr>
      <w:r>
        <w:t xml:space="preserve">Currency conversion</w:t>
      </w:r>
    </w:p>
    <w:p>
      <w:pPr>
        <w:pStyle w:val="FirstParagraph"/>
      </w:pPr>
      <w:r>
        <w:t xml:space="preserve">Rates are converted to US dollars at working exchange rates: UGX 3,750 per USD for Uganda, NLe 22 per USD for Sierra Leone. Both are mid-rates in force around the cut-off date and align with central-bank reference rates within plus or minus 3 per cent. Sierra Leone redenominated the Leone in April 2022 at 1,000 Old Leones to 1 New Leone; rates quoted in the schedule in Old Leones (Le) are converted on the assumption that the redenomination has not yet been formally applied to those lines (so Le X per litre is treated as nominally NLe X / 1,000 per litre and explicitly flagged where the result is anomalous).</w:t>
      </w:r>
    </w:p>
    <w:bookmarkEnd w:id="31"/>
    <w:bookmarkStart w:id="32" w:name="standardising-physical-units"/>
    <w:p>
      <w:pPr>
        <w:pStyle w:val="Heading4"/>
      </w:pPr>
      <w:r>
        <w:t xml:space="preserve">Standardising physical units</w:t>
      </w:r>
    </w:p>
    <w:p>
      <w:pPr>
        <w:pStyle w:val="FirstParagraph"/>
      </w:pPr>
      <w:r>
        <w:t xml:space="preserve">Where the schedule uses a non-standard unit, the rate is converted to a standard one. Cigarettes per 1,000 sticks are converted to per pack of 20 (multiply by 0.02). Specific alcohol rates per litre of product are converted to per litre of pure alcohol (LPA) by dividing by the representative ABV (5 per cent for beer, 12 per cent for wine, 40 per cent for spirits). Hybrid higher-of rates are evaluated at a representative product price and the binding component reported.</w:t>
      </w:r>
    </w:p>
    <w:bookmarkEnd w:id="32"/>
    <w:bookmarkStart w:id="33" w:name="X6405d0dca7c5d7847be0aa2e6d9bd72546e13da"/>
    <w:p>
      <w:pPr>
        <w:pStyle w:val="Heading4"/>
      </w:pPr>
      <w:r>
        <w:t xml:space="preserve">Reference prices for the % of consumer price measure</w:t>
      </w:r>
    </w:p>
    <w:p>
      <w:pPr>
        <w:pStyle w:val="FirstParagraph"/>
      </w:pPr>
      <w:r>
        <w:t xml:space="preserve">Consumer prices are taken from the most recent published source closest to the cut-off date. Fuel pump prices: Uganda UGX 5,244 per litre petrol (GlobalPetrolPrices, 20 April 2026); Sierra Leone NLe 28 per litre petrol and diesel (PRA, September 2024) and NLe 27.4 per litre diesel (approximately USD 1.39) (GlobalPetrolPrices, November 2025). Cigarette pack prices: Ugandan retail prices estimated at UGX 4,000 to 6,000 per pack of 20 depending on brand and pack type; Sierra Leonean retail estimated at NLe 22 per pack. Alcohol and SSB retail prices: estimated from market surveys and import data; the figures are best-estimate ranges rather than point estimates.</w:t>
      </w:r>
    </w:p>
    <w:bookmarkEnd w:id="33"/>
    <w:bookmarkStart w:id="34" w:name="volumes-for-the-implied-revenue-measure"/>
    <w:p>
      <w:pPr>
        <w:pStyle w:val="Heading4"/>
      </w:pPr>
      <w:r>
        <w:t xml:space="preserve">Volumes for the implied revenue measure</w:t>
      </w:r>
    </w:p>
    <w:p>
      <w:pPr>
        <w:pStyle w:val="FirstParagraph"/>
      </w:pPr>
      <w:r>
        <w:t xml:space="preserve">Consumption volumes are taken from the most recent published industry or regulator source. Fuel: Uganda approximately 2.5 billion litres total petroleum imports per year (UNOC, 2024), with monthly demand around 240 million litres growing 7 per cent per annum; April 2026 import plan 283 million litres petrol plus 180 million diesel plus 25 million Jet A1. The petrol / diesel split is taken at roughly the import-plan ratio (60 / 40 for petrol against diesel). Sierra Leone approximately 524 million litres total petroleum sales (PRA, 2023), assumed to have grown approximately 10 per cent to approximately 575 million by 2026; petrol / diesel split assumed roughly 50 / 50 in the absence of a published breakdown. Cigarettes: Uganda smoking prevalence 4.4 per cent among adults aged 15 and over (WHO, 2024), giving approximately 1.2 million smokers; assumed average consumption around 10 sticks per day (consistent with regional estimates) gives approximately 4.4 billion sticks per year. Sierra Leone has no domestic tobacco production — all consumption is imported — and prevalence is reported in older sources at 3 to 5 per cent of adults, giving approximately 120 to 200 thousand smokers and approximately 0.5 to 1.0 billion sticks per year. Alcohol: WHO Global Status Report on Alcohol estimates Uganda total adult per-capita consumption at approximately 9.5 litres of pure alcohol per year (mostly opaque beer); Sierra Leone approximately 6.7 LPA per year (mostly informal and home-brewed). Volumes captured by the formal excise net are a fraction of these — perhaps 30 to 40 per cent — and figures should be read with that in mind. SSBs: no published volume data for either country; figures here are best-effort estimates based on import data and assumed per-capita consumption.</w:t>
      </w:r>
    </w:p>
    <w:bookmarkEnd w:id="34"/>
    <w:bookmarkStart w:id="35" w:name="gdp-denominator"/>
    <w:p>
      <w:pPr>
        <w:pStyle w:val="Heading4"/>
      </w:pPr>
      <w:r>
        <w:t xml:space="preserve">GDP denominator</w:t>
      </w:r>
    </w:p>
    <w:p>
      <w:pPr>
        <w:pStyle w:val="FirstParagraph"/>
      </w:pPr>
      <w:r>
        <w:t xml:space="preserve">Working figures: Uganda USD 55 billion (between World Bank 2024 of USD 53.65 billion and FocusEconomics 2024 estimate of USD 56.6 billion); Sierra Leone USD 7.5 billion (between World Bank 2024 of USD 7.0 billion and IMF 2026 projection of USD 8.27 billion). The IMF’s higher 2026 figure for Uganda (USD 73 billion) is treated as overstated and not used. Using larger GDP figures would proportionally lower the implied per cent of GDP estimates.</w:t>
      </w:r>
    </w:p>
    <w:bookmarkEnd w:id="35"/>
    <w:bookmarkEnd w:id="36"/>
    <w:bookmarkStart w:id="37" w:name="X61929dac2e7c616f1b6867e4e19df64f66b09ea"/>
    <w:p>
      <w:pPr>
        <w:pStyle w:val="Heading3"/>
      </w:pPr>
      <w:r>
        <w:t xml:space="preserve">A3.5 Limitations and what the diagnostic does not do</w:t>
      </w:r>
    </w:p>
    <w:p>
      <w:pPr>
        <w:pStyle w:val="FirstParagraph"/>
      </w:pPr>
      <w:r>
        <w:t xml:space="preserve">Five caveats. First, the implied per cent of GDP figures are approximations within a factor of perhaps 1.5x, due to volume uncertainty. Reported revenue figures, when available, should always be preferred. Second, the per cent of consumer price figures move materially with the chosen reference price; ranges are used where appropriate. Third, the diagnostic does not model behavioural response — pass-through, demand elasticity, evasion — so figures are static. Fourth, informal-sector and home-produced goods (opaque beer, akpeteshi, untaxed cigarettes from neighbouring countries) are largely outside the formal excise net and so the diagnostic understates the alcohol and tobacco footprint of consumption while accurately representing the formal-sector excise base. Fifth, the diagnostic surfaces but does not adjudicate policy choices: it does not say whether a rate is too high or too low, whether a category is justified, or whether a reform is desirable.</w:t>
      </w:r>
    </w:p>
    <w:bookmarkEnd w:id="37"/>
    <w:bookmarkEnd w:id="38"/>
    <w:bookmarkStart w:id="44" w:name="a4.-results"/>
    <w:p>
      <w:pPr>
        <w:pStyle w:val="Heading1"/>
      </w:pPr>
      <w:r>
        <w:t xml:space="preserve">A4. Results</w:t>
      </w:r>
    </w:p>
    <w:p>
      <w:pPr>
        <w:pStyle w:val="FirstParagraph"/>
      </w:pPr>
      <w:r>
        <w:t xml:space="preserve">The full diagnostics — every line in each schedule, on the five fields described above — are presented in Appendix A. The year-by-year trajectory of those rates from 2020 to the current law is in Appendix B. The worked computations of the three comparable measures, line by line, are presented in section A5 below. This section reports the headline findings.</w:t>
      </w:r>
    </w:p>
    <w:bookmarkStart w:id="39" w:name="a4.1-energy-and-vehicles"/>
    <w:p>
      <w:pPr>
        <w:pStyle w:val="Heading3"/>
      </w:pPr>
      <w:r>
        <w:t xml:space="preserve">A4.1 Energy and vehicles</w:t>
      </w:r>
    </w:p>
    <w:p>
      <w:pPr>
        <w:pStyle w:val="FirstParagraph"/>
      </w:pPr>
      <w:r>
        <w:t xml:space="preserve">On the $/unit measure, Uganda’s headline fuel excise is roughly twice Sierra Leone’s (USD 0.41 against USD 0.23 per litre on petrol; USD 0.33 against USD 0.23 on diesel). On the per cent of consumer price measure, the gap is similar (approximately 30 per cent against 18 per cent on petrol). Sierra Leonean pump prices are higher in dollar terms because of higher landed costs, not higher tax. On the implied per cent of GDP measure, fuel excise raises an order of magnitude more in Uganda — roughly 1.3 per cent of GDP combined across petrol and diesel, against 0.6 per cent of GDP in Sierra Leone. The gap reflects both the higher rate and Uganda’s larger fuel volume relative to the size of the economy.</w:t>
      </w:r>
    </w:p>
    <w:p>
      <w:pPr>
        <w:pStyle w:val="BodyText"/>
      </w:pPr>
      <w:r>
        <w:t xml:space="preserve">For international context, OECD-average fuel excise is USD 0.55 per litre on petrol, 30 to 50 per cent of pump price, and 1.5 to 2.5 per cent of GDP. South Africa runs USD 0.20 to 0.25 per litre. Both Uganda and Sierra Leone are within the lower-middle-income range, with Uganda closer to OECD intensity than Sierra Leone.</w:t>
      </w:r>
    </w:p>
    <w:p>
      <w:pPr>
        <w:pStyle w:val="BodyText"/>
      </w:pPr>
      <w:r>
        <w:t xml:space="preserve">Vehicle taxation is structurally weak in both countries. Uganda has a one-off motorcycle first registration charge of UGX 200,000 (USD 53) that has been stable since 2018 and is proposed to rise to UGX 500,000 in the 2026 Bill. Sierra Leone introduced an annual circulation levy in FA2026 (NLe 500 / USD 23 for cars, trucks and buses; NLe 200 / USD 9 for motorbikes; USD 500 to 1,000 for vessels). Neither rises above 0.05 per cent of GDP.</w:t>
      </w:r>
    </w:p>
    <w:bookmarkEnd w:id="39"/>
    <w:bookmarkStart w:id="40" w:name="a4.2-health-tobacco"/>
    <w:p>
      <w:pPr>
        <w:pStyle w:val="Heading3"/>
      </w:pPr>
      <w:r>
        <w:t xml:space="preserve">A4.2 Health — tobacco</w:t>
      </w:r>
    </w:p>
    <w:p>
      <w:pPr>
        <w:pStyle w:val="FirstParagraph"/>
      </w:pPr>
      <w:r>
        <w:t xml:space="preserve">Uganda’s structure produces a much heavier excise burden than Sierra Leone’s. The lowest Ugandan tier (USD 0.35 per pack on locally manufactured soft cap cigarettes) is 2.5 times the single Sierra Leonean rate (USD 0.14 per pack); the highest Ugandan tier (USD 1.07 per pack on imported hinge lid) is 7.5 times. On the per cent of retail measure, Uganda runs 30 to 55 per cent against Sierra Leone’s 10 to 15 per cent. Both countries are well below the WHO benchmark of at least 75 per cent of retail price as excise.</w:t>
      </w:r>
    </w:p>
    <w:p>
      <w:pPr>
        <w:pStyle w:val="BodyText"/>
      </w:pPr>
      <w:r>
        <w:t xml:space="preserve">On revenue, tobacco excise is small in both countries — 0.05 to 0.10 per cent of GDP in Uganda, approximately 0.02 per cent of GDP in Sierra Leone — reflecting modest smoking prevalence (4.4 per cent in Uganda; estimated similar in Sierra Leone) more than the rate level. South Africa raises approximately 0.4 per cent of GDP from tobacco excise; the EU average is approximately 0.6 per cent. There is meaningful headroom for further increases in both countries, particularly Sierra Leone.</w:t>
      </w:r>
    </w:p>
    <w:bookmarkEnd w:id="40"/>
    <w:bookmarkStart w:id="41" w:name="a4.3-health-alcohol"/>
    <w:p>
      <w:pPr>
        <w:pStyle w:val="Heading3"/>
      </w:pPr>
      <w:r>
        <w:t xml:space="preserve">A4.3 Health — alcohol</w:t>
      </w:r>
    </w:p>
    <w:p>
      <w:pPr>
        <w:pStyle w:val="FirstParagraph"/>
      </w:pPr>
      <w:r>
        <w:t xml:space="preserve">On like-for-like beer (approximately 5 per cent ABV), Uganda’s malt beer rate (approximately USD 11 per litre of pure alcohol) is approximately 50 per cent higher than Sierra Leone’s strictest band (D4, approximately USD 7 per LPA), and several multiples above the local-content-discounted bands in either country. Both are well below OECD benchmarks of USD 15 to 40 per LPA on beer.</w:t>
      </w:r>
    </w:p>
    <w:p>
      <w:pPr>
        <w:pStyle w:val="BodyText"/>
      </w:pPr>
      <w:r>
        <w:rPr>
          <w:b/>
          <w:bCs/>
        </w:rPr>
        <w:t xml:space="preserve">Redenomination anomaly.</w:t>
      </w:r>
      <w:r>
        <w:t xml:space="preserve"> </w:t>
      </w:r>
      <w:r>
        <w:t xml:space="preserve">The diagnostic surfaces a redenomination anomaly in the Sierra Leonean wine schedule. FA2024 set wine excise at Le 4.20 to 22 per litre depending on ABV band and origin, in Old Leones. After the April 2022 redenomination at 1,000 Old Le to 1 NLe, those rates would translate to NLe 0.0042 to 0.022 per litre — roughly USD 0.0002 to 0.001 per litre, which is essentially zero. The schedule has not been formally restated through two subsequent Finance Acts (FA2025, FA2026). At face value, wine in Sierra Leone is currently untaxed by excise. This is almost certainly a drafting issue rather than an intended policy choice; remediation is a one-line schedule amendment.</w:t>
      </w:r>
    </w:p>
    <w:p>
      <w:pPr>
        <w:pStyle w:val="BodyText"/>
      </w:pPr>
      <w:r>
        <w:t xml:space="preserve">Alcohol excise revenue is approximately 0.2 per cent of GDP in Uganda and 0.05 per cent in Sierra Leone, reflecting both lower rates and the larger informal / home-brewed share of the Sierra Leonean market that sits outside the formal excise net. OECD averages run 0.4 to 0.6 per cent of GDP.</w:t>
      </w:r>
    </w:p>
    <w:bookmarkEnd w:id="41"/>
    <w:bookmarkStart w:id="42" w:name="a4.4-health-sugar-sweetened-beverages"/>
    <w:p>
      <w:pPr>
        <w:pStyle w:val="Heading3"/>
      </w:pPr>
      <w:r>
        <w:t xml:space="preserve">A4.4 Health — sugar-sweetened beverages</w:t>
      </w:r>
    </w:p>
    <w:p>
      <w:pPr>
        <w:pStyle w:val="FirstParagraph"/>
      </w:pPr>
      <w:r>
        <w:t xml:space="preserve">Both countries are weak on SSBs. Uganda taxes all non-alcoholic beverages including juice at a flat 12 per cent or UGX 250 per litre — no sugar-content differentiation. Sierra Leone taxes only energy drinks (20 per cent) and imported juice (20 per cent), leaving general soft drinks essentially untaxed. The UK soft drinks industry levy by comparison is GBP 0.18 to 0.24 per litre depending on sugar content (approximately USD 0.23 to 0.30); Mexico’s SSB excise is approximately USD 0.05 per litre flat; South Africa’s Health Promotion Levy is ZAR 0.0221 per gram of sugar above 4g/100ml. On either the per-litre or per cent of retail measure, both countries tax SSBs less heavily than peers.</w:t>
      </w:r>
    </w:p>
    <w:bookmarkEnd w:id="42"/>
    <w:bookmarkStart w:id="43" w:name="a4.5-aggregate-picture"/>
    <w:p>
      <w:pPr>
        <w:pStyle w:val="Heading3"/>
      </w:pPr>
      <w:r>
        <w:t xml:space="preserve">A4.5 Aggregate picture</w:t>
      </w:r>
    </w:p>
    <w:p>
      <w:pPr>
        <w:pStyle w:val="FirstParagraph"/>
      </w:pPr>
      <w:r>
        <w:t xml:space="preserve">Combining the priority sectors: Uganda’s energy plus tobacco plus alcohol plus SSB excise raises approximately 1.5 to 1.7 per cent of GDP; Sierra Leone’s raises approximately 0.7 to 0.9 per cent of GDP. The gap is largely accounted for by fuel (approximately 1.3 per cent against approximately 0.6 per cent) — the other categories raise broadly comparable shares of GDP. Adding cement, gambling and the regulatory cellular levies in Sierra Leone narrows the gap modestly but does not close it.</w:t>
      </w:r>
    </w:p>
    <w:p>
      <w:pPr>
        <w:pStyle w:val="BodyText"/>
      </w:pPr>
      <w:r>
        <w:t xml:space="preserve">On rate intensity, Uganda is closer to international benchmarks across the board. Fuel: 30 per cent of pump price against 18 per cent. Tobacco: 30 to 55 per cent of pack price against 10 to 15 per cent. Beer: approximately USD 11 per LPA against approximately USD 7 per LPA on the highest-rate band. The ratio is roughly 2 to 1 in Uganda’s favour on every measure. Both countries are below international peers, with Sierra Leone further below.</w:t>
      </w:r>
    </w:p>
    <w:bookmarkEnd w:id="43"/>
    <w:bookmarkEnd w:id="44"/>
    <w:bookmarkStart w:id="50" w:name="Xe7a9c80161845e76be4e4a38d69397eda34a282"/>
    <w:p>
      <w:pPr>
        <w:pStyle w:val="Heading1"/>
      </w:pPr>
      <w:r>
        <w:t xml:space="preserve">A5. Worked computations of the three measures</w:t>
      </w:r>
    </w:p>
    <w:p>
      <w:pPr>
        <w:pStyle w:val="FirstParagraph"/>
      </w:pPr>
      <w:r>
        <w:t xml:space="preserve">This section presents the line-by-line computations underlying the headline findings reported in A4. Tables follow the same five-column structure: country, item, USD per standardised unit, per cent of consumer price, implied per cent of GDP. Where a cell contains a range or an estimate flagged with “~”, the range reflects volume or price uncertainty discussed in section A3.</w:t>
      </w:r>
    </w:p>
    <w:bookmarkStart w:id="45" w:name="a5.1-energy-and-vehicles"/>
    <w:p>
      <w:pPr>
        <w:pStyle w:val="Heading3"/>
      </w:pPr>
      <w:r>
        <w:t xml:space="preserve">A5.1 Energy and vehicles</w:t>
      </w:r>
    </w:p>
    <w:tbl>
      <w:tblPr>
        <w:tblStyle w:val="Table"/>
        <w:tblW w:type="pct" w:w="4951"/>
        <w:tblLayout w:type="fixed"/>
        <w:tblLook w:firstRow="1" w:lastRow="0" w:firstColumn="0" w:lastColumn="0" w:noHBand="0" w:noVBand="0" w:val="0020"/>
      </w:tblPr>
      <w:tblGrid>
        <w:gridCol w:w="734"/>
        <w:gridCol w:w="2240"/>
        <w:gridCol w:w="1236"/>
        <w:gridCol w:w="1893"/>
        <w:gridCol w:w="1738"/>
      </w:tblGrid>
      <w:tr>
        <w:trPr>
          <w:tblHeader w:val="on"/>
        </w:trPr>
        <w:tc>
          <w:tcPr/>
          <w:p>
            <w:pPr>
              <w:pStyle w:val="Compact"/>
              <w:jc w:val="left"/>
            </w:pPr>
            <w:r>
              <w:rPr>
                <w:b/>
                <w:bCs/>
              </w:rPr>
              <w:t xml:space="preserve">Country</w:t>
            </w:r>
          </w:p>
        </w:tc>
        <w:tc>
          <w:tcPr/>
          <w:p>
            <w:pPr>
              <w:pStyle w:val="Compact"/>
              <w:jc w:val="left"/>
            </w:pPr>
            <w:r>
              <w:rPr>
                <w:b/>
                <w:bCs/>
              </w:rPr>
              <w:t xml:space="preserve">Item</w:t>
            </w:r>
          </w:p>
        </w:tc>
        <w:tc>
          <w:tcPr/>
          <w:p>
            <w:pPr>
              <w:pStyle w:val="Compact"/>
              <w:jc w:val="left"/>
            </w:pPr>
            <w:r>
              <w:rPr>
                <w:b/>
                <w:bCs/>
              </w:rPr>
              <w:t xml:space="preserve">Excise per unit (USD)</w:t>
            </w:r>
          </w:p>
        </w:tc>
        <w:tc>
          <w:tcPr/>
          <w:p>
            <w:pPr>
              <w:pStyle w:val="Compact"/>
              <w:jc w:val="left"/>
            </w:pPr>
            <w:r>
              <w:rPr>
                <w:b/>
                <w:bCs/>
              </w:rPr>
              <w:t xml:space="preserve">Excise as % of consumer price</w:t>
            </w:r>
          </w:p>
        </w:tc>
        <w:tc>
          <w:tcPr/>
          <w:p>
            <w:pPr>
              <w:pStyle w:val="Compact"/>
              <w:jc w:val="left"/>
            </w:pPr>
            <w:r>
              <w:rPr>
                <w:b/>
                <w:bCs/>
              </w:rPr>
              <w:t xml:space="preserve">Implied excise revenue, % of GDP</w:t>
            </w:r>
          </w:p>
        </w:tc>
      </w:tr>
      <w:tr>
        <w:tc>
          <w:tcPr/>
          <w:p>
            <w:pPr>
              <w:pStyle w:val="Compact"/>
              <w:jc w:val="left"/>
            </w:pPr>
            <w:r>
              <w:rPr>
                <w:b/>
                <w:bCs/>
              </w:rPr>
              <w:t xml:space="preserve">Uganda</w:t>
            </w:r>
          </w:p>
        </w:tc>
        <w:tc>
          <w:tcPr/>
          <w:p>
            <w:pPr>
              <w:pStyle w:val="Compact"/>
              <w:jc w:val="left"/>
            </w:pPr>
            <w:r>
              <w:t xml:space="preserve">Petrol</w:t>
            </w:r>
          </w:p>
        </w:tc>
        <w:tc>
          <w:tcPr/>
          <w:p>
            <w:pPr>
              <w:pStyle w:val="Compact"/>
              <w:jc w:val="left"/>
            </w:pPr>
            <w:r>
              <w:t xml:space="preserve">USD 0.41 / litre (UGX 1,550)</w:t>
            </w:r>
          </w:p>
        </w:tc>
        <w:tc>
          <w:tcPr/>
          <w:p>
            <w:pPr>
              <w:pStyle w:val="Compact"/>
              <w:jc w:val="left"/>
            </w:pPr>
            <w:r>
              <w:t xml:space="preserve">~30% of pump price (UGX 5,244)</w:t>
            </w:r>
          </w:p>
        </w:tc>
        <w:tc>
          <w:tcPr/>
          <w:p>
            <w:pPr>
              <w:pStyle w:val="Compact"/>
              <w:jc w:val="left"/>
            </w:pPr>
            <w:r>
              <w:t xml:space="preserve">~0.7% of GDP at ~1.0 bn litres petrol/yr</w:t>
            </w:r>
          </w:p>
        </w:tc>
      </w:tr>
      <w:tr>
        <w:tc>
          <w:tcPr/>
          <w:p>
            <w:pPr>
              <w:pStyle w:val="Compact"/>
              <w:jc w:val="left"/>
            </w:pPr>
            <w:r>
              <w:rPr>
                <w:b/>
                <w:bCs/>
              </w:rPr>
              <w:t xml:space="preserve">Uganda</w:t>
            </w:r>
          </w:p>
        </w:tc>
        <w:tc>
          <w:tcPr/>
          <w:p>
            <w:pPr>
              <w:pStyle w:val="Compact"/>
              <w:jc w:val="left"/>
            </w:pPr>
            <w:r>
              <w:t xml:space="preserve">Diesel</w:t>
            </w:r>
          </w:p>
        </w:tc>
        <w:tc>
          <w:tcPr/>
          <w:p>
            <w:pPr>
              <w:pStyle w:val="Compact"/>
              <w:jc w:val="left"/>
            </w:pPr>
            <w:r>
              <w:t xml:space="preserve">USD 0.33 / litre (UGX 1,230)</w:t>
            </w:r>
          </w:p>
        </w:tc>
        <w:tc>
          <w:tcPr/>
          <w:p>
            <w:pPr>
              <w:pStyle w:val="Compact"/>
              <w:jc w:val="left"/>
            </w:pPr>
            <w:r>
              <w:t xml:space="preserve">~24% of pump price (UGX ~5,100)</w:t>
            </w:r>
          </w:p>
        </w:tc>
        <w:tc>
          <w:tcPr/>
          <w:p>
            <w:pPr>
              <w:pStyle w:val="Compact"/>
              <w:jc w:val="left"/>
            </w:pPr>
            <w:r>
              <w:t xml:space="preserve">~0.6% of GDP at ~0.9 bn litres diesel/yr</w:t>
            </w:r>
          </w:p>
        </w:tc>
      </w:tr>
      <w:tr>
        <w:tc>
          <w:tcPr/>
          <w:p>
            <w:pPr>
              <w:pStyle w:val="Compact"/>
              <w:jc w:val="left"/>
            </w:pPr>
            <w:r>
              <w:rPr>
                <w:b/>
                <w:bCs/>
              </w:rPr>
              <w:t xml:space="preserve">Uganda</w:t>
            </w:r>
          </w:p>
        </w:tc>
        <w:tc>
          <w:tcPr/>
          <w:p>
            <w:pPr>
              <w:pStyle w:val="Compact"/>
              <w:jc w:val="left"/>
            </w:pPr>
            <w:r>
              <w:t xml:space="preserve">Kerosene</w:t>
            </w:r>
          </w:p>
        </w:tc>
        <w:tc>
          <w:tcPr/>
          <w:p>
            <w:pPr>
              <w:pStyle w:val="Compact"/>
              <w:jc w:val="left"/>
            </w:pPr>
            <w:r>
              <w:t xml:space="preserve">USD 0.05 / litre (UGX 200)</w:t>
            </w:r>
          </w:p>
        </w:tc>
        <w:tc>
          <w:tcPr/>
          <w:p>
            <w:pPr>
              <w:pStyle w:val="Compact"/>
              <w:jc w:val="left"/>
            </w:pPr>
            <w:r>
              <w:t xml:space="preserve">~5% of pump price</w:t>
            </w:r>
          </w:p>
        </w:tc>
        <w:tc>
          <w:tcPr/>
          <w:p>
            <w:pPr>
              <w:pStyle w:val="Compact"/>
              <w:jc w:val="left"/>
            </w:pPr>
            <w:r>
              <w:t xml:space="preserve">&lt;0.05% of GDP (low volume)</w:t>
            </w:r>
          </w:p>
        </w:tc>
      </w:tr>
      <w:tr>
        <w:tc>
          <w:tcPr/>
          <w:p>
            <w:pPr>
              <w:pStyle w:val="Compact"/>
              <w:jc w:val="left"/>
            </w:pPr>
            <w:r>
              <w:rPr>
                <w:b/>
                <w:bCs/>
              </w:rPr>
              <w:t xml:space="preserve">Uganda</w:t>
            </w:r>
          </w:p>
        </w:tc>
        <w:tc>
          <w:tcPr/>
          <w:p>
            <w:pPr>
              <w:pStyle w:val="Compact"/>
              <w:jc w:val="left"/>
            </w:pPr>
            <w:r>
              <w:t xml:space="preserve">Jet A1</w:t>
            </w:r>
          </w:p>
        </w:tc>
        <w:tc>
          <w:tcPr/>
          <w:p>
            <w:pPr>
              <w:pStyle w:val="Compact"/>
              <w:jc w:val="left"/>
            </w:pPr>
            <w:r>
              <w:t xml:space="preserve">USD 0.17 / litre (UGX 630)</w:t>
            </w:r>
          </w:p>
        </w:tc>
        <w:tc>
          <w:tcPr/>
          <w:p>
            <w:pPr>
              <w:pStyle w:val="Compact"/>
              <w:jc w:val="left"/>
            </w:pPr>
            <w:r>
              <w:t xml:space="preserve">n/a (commercial supply contracts often exempt)</w:t>
            </w:r>
          </w:p>
        </w:tc>
        <w:tc>
          <w:tcPr/>
          <w:p>
            <w:pPr>
              <w:pStyle w:val="Compact"/>
              <w:jc w:val="left"/>
            </w:pPr>
            <w:r>
              <w:t xml:space="preserve">&lt;0.05% of GDP</w:t>
            </w:r>
          </w:p>
        </w:tc>
      </w:tr>
      <w:tr>
        <w:tc>
          <w:tcPr/>
          <w:p>
            <w:pPr>
              <w:pStyle w:val="Compact"/>
              <w:jc w:val="left"/>
            </w:pPr>
            <w:r>
              <w:rPr>
                <w:b/>
                <w:bCs/>
              </w:rPr>
              <w:t xml:space="preserve">Uganda</w:t>
            </w:r>
          </w:p>
        </w:tc>
        <w:tc>
          <w:tcPr/>
          <w:p>
            <w:pPr>
              <w:pStyle w:val="Compact"/>
              <w:jc w:val="left"/>
            </w:pPr>
            <w:r>
              <w:t xml:space="preserve">Motorcycle first registration</w:t>
            </w:r>
          </w:p>
        </w:tc>
        <w:tc>
          <w:tcPr/>
          <w:p>
            <w:pPr>
              <w:pStyle w:val="Compact"/>
              <w:jc w:val="left"/>
            </w:pPr>
            <w:r>
              <w:t xml:space="preserve">USD 53 lump sum (UGX 200,000)</w:t>
            </w:r>
          </w:p>
        </w:tc>
        <w:tc>
          <w:tcPr/>
          <w:p>
            <w:pPr>
              <w:pStyle w:val="Compact"/>
              <w:jc w:val="left"/>
            </w:pPr>
            <w:r>
              <w:t xml:space="preserve">n/a (one-off)</w:t>
            </w:r>
          </w:p>
        </w:tc>
        <w:tc>
          <w:tcPr/>
          <w:p>
            <w:pPr>
              <w:pStyle w:val="Compact"/>
              <w:jc w:val="left"/>
            </w:pPr>
            <w:r>
              <w:t xml:space="preserve">&lt;0.05% of GDP</w:t>
            </w:r>
          </w:p>
        </w:tc>
      </w:tr>
      <w:tr>
        <w:tc>
          <w:tcPr/>
          <w:p>
            <w:pPr>
              <w:pStyle w:val="Compact"/>
              <w:jc w:val="left"/>
            </w:pPr>
            <w:r>
              <w:rPr>
                <w:b/>
                <w:bCs/>
              </w:rPr>
              <w:t xml:space="preserve">Sierra Leone</w:t>
            </w:r>
          </w:p>
        </w:tc>
        <w:tc>
          <w:tcPr/>
          <w:p>
            <w:pPr>
              <w:pStyle w:val="Compact"/>
              <w:jc w:val="left"/>
            </w:pPr>
            <w:r>
              <w:t xml:space="preserve">Petrol</w:t>
            </w:r>
          </w:p>
        </w:tc>
        <w:tc>
          <w:tcPr/>
          <w:p>
            <w:pPr>
              <w:pStyle w:val="Compact"/>
              <w:jc w:val="left"/>
            </w:pPr>
            <w:r>
              <w:t xml:space="preserve">USD 0.23 / litre (NLe 5.00)</w:t>
            </w:r>
          </w:p>
        </w:tc>
        <w:tc>
          <w:tcPr/>
          <w:p>
            <w:pPr>
              <w:pStyle w:val="Compact"/>
              <w:jc w:val="left"/>
            </w:pPr>
            <w:r>
              <w:t xml:space="preserve">~18% of pump price (NLe 28)</w:t>
            </w:r>
          </w:p>
        </w:tc>
        <w:tc>
          <w:tcPr/>
          <w:p>
            <w:pPr>
              <w:pStyle w:val="Compact"/>
              <w:jc w:val="left"/>
            </w:pPr>
            <w:r>
              <w:t xml:space="preserve">~0.3% of GDP at ~270 m litres petrol/yr</w:t>
            </w:r>
          </w:p>
        </w:tc>
      </w:tr>
      <w:tr>
        <w:tc>
          <w:tcPr/>
          <w:p>
            <w:pPr>
              <w:pStyle w:val="Compact"/>
              <w:jc w:val="left"/>
            </w:pPr>
            <w:r>
              <w:rPr>
                <w:b/>
                <w:bCs/>
              </w:rPr>
              <w:t xml:space="preserve">Sierra Leone</w:t>
            </w:r>
          </w:p>
        </w:tc>
        <w:tc>
          <w:tcPr/>
          <w:p>
            <w:pPr>
              <w:pStyle w:val="Compact"/>
              <w:jc w:val="left"/>
            </w:pPr>
            <w:r>
              <w:t xml:space="preserve">Diesel</w:t>
            </w:r>
          </w:p>
        </w:tc>
        <w:tc>
          <w:tcPr/>
          <w:p>
            <w:pPr>
              <w:pStyle w:val="Compact"/>
              <w:jc w:val="left"/>
            </w:pPr>
            <w:r>
              <w:t xml:space="preserve">USD 0.23 / litre (NLe 5.00)</w:t>
            </w:r>
          </w:p>
        </w:tc>
        <w:tc>
          <w:tcPr/>
          <w:p>
            <w:pPr>
              <w:pStyle w:val="Compact"/>
              <w:jc w:val="left"/>
            </w:pPr>
            <w:r>
              <w:t xml:space="preserve">~18% of pump price (NLe 27.4)</w:t>
            </w:r>
          </w:p>
        </w:tc>
        <w:tc>
          <w:tcPr/>
          <w:p>
            <w:pPr>
              <w:pStyle w:val="Compact"/>
              <w:jc w:val="left"/>
            </w:pPr>
            <w:r>
              <w:t xml:space="preserve">~0.3% of GDP at ~250 m litres diesel/yr</w:t>
            </w:r>
          </w:p>
        </w:tc>
      </w:tr>
      <w:tr>
        <w:tc>
          <w:tcPr/>
          <w:p>
            <w:pPr>
              <w:pStyle w:val="Compact"/>
              <w:jc w:val="left"/>
            </w:pPr>
            <w:r>
              <w:rPr>
                <w:b/>
                <w:bCs/>
              </w:rPr>
              <w:t xml:space="preserve">Sierra Leone</w:t>
            </w:r>
          </w:p>
        </w:tc>
        <w:tc>
          <w:tcPr/>
          <w:p>
            <w:pPr>
              <w:pStyle w:val="Compact"/>
              <w:jc w:val="left"/>
            </w:pPr>
            <w:r>
              <w:t xml:space="preserve">Kerosene</w:t>
            </w:r>
          </w:p>
        </w:tc>
        <w:tc>
          <w:tcPr/>
          <w:p>
            <w:pPr>
              <w:pStyle w:val="Compact"/>
              <w:jc w:val="left"/>
            </w:pPr>
            <w:r>
              <w:t xml:space="preserve">USD 0.09 / litre (NLe 2.00)</w:t>
            </w:r>
          </w:p>
        </w:tc>
        <w:tc>
          <w:tcPr/>
          <w:p>
            <w:pPr>
              <w:pStyle w:val="Compact"/>
              <w:jc w:val="left"/>
            </w:pPr>
            <w:r>
              <w:t xml:space="preserve">~7% of pump price (NLe ~26)</w:t>
            </w:r>
          </w:p>
        </w:tc>
        <w:tc>
          <w:tcPr/>
          <w:p>
            <w:pPr>
              <w:pStyle w:val="Compact"/>
              <w:jc w:val="left"/>
            </w:pPr>
            <w:r>
              <w:t xml:space="preserve">&lt;0.05% of GDP</w:t>
            </w:r>
          </w:p>
        </w:tc>
      </w:tr>
      <w:tr>
        <w:tc>
          <w:tcPr/>
          <w:p>
            <w:pPr>
              <w:pStyle w:val="Compact"/>
              <w:jc w:val="left"/>
            </w:pPr>
            <w:r>
              <w:rPr>
                <w:b/>
                <w:bCs/>
              </w:rPr>
              <w:t xml:space="preserve">Sierra Leone</w:t>
            </w:r>
          </w:p>
        </w:tc>
        <w:tc>
          <w:tcPr/>
          <w:p>
            <w:pPr>
              <w:pStyle w:val="Compact"/>
              <w:jc w:val="left"/>
            </w:pPr>
            <w:r>
              <w:t xml:space="preserve">Fuel oil</w:t>
            </w:r>
          </w:p>
        </w:tc>
        <w:tc>
          <w:tcPr/>
          <w:p>
            <w:pPr>
              <w:pStyle w:val="Compact"/>
              <w:jc w:val="left"/>
            </w:pPr>
            <w:r>
              <w:t xml:space="preserve">USD 0.34 / litre (NLe 7.40)</w:t>
            </w:r>
          </w:p>
        </w:tc>
        <w:tc>
          <w:tcPr/>
          <w:p>
            <w:pPr>
              <w:pStyle w:val="Compact"/>
              <w:jc w:val="left"/>
            </w:pPr>
            <w:r>
              <w:t xml:space="preserve">varies (industrial use)</w:t>
            </w:r>
          </w:p>
        </w:tc>
        <w:tc>
          <w:tcPr/>
          <w:p>
            <w:pPr>
              <w:pStyle w:val="Compact"/>
              <w:jc w:val="left"/>
            </w:pPr>
            <w:r>
              <w:t xml:space="preserve">&lt;0.1% of GDP</w:t>
            </w:r>
          </w:p>
        </w:tc>
      </w:tr>
      <w:tr>
        <w:tc>
          <w:tcPr/>
          <w:p>
            <w:pPr>
              <w:pStyle w:val="Compact"/>
              <w:jc w:val="left"/>
            </w:pPr>
            <w:r>
              <w:rPr>
                <w:b/>
                <w:bCs/>
              </w:rPr>
              <w:t xml:space="preserve">Sierra Leone</w:t>
            </w:r>
          </w:p>
        </w:tc>
        <w:tc>
          <w:tcPr/>
          <w:p>
            <w:pPr>
              <w:pStyle w:val="Compact"/>
              <w:jc w:val="left"/>
            </w:pPr>
            <w:r>
              <w:t xml:space="preserve">Vehicle annual circulation levy (cars / trucks / buses)</w:t>
            </w:r>
          </w:p>
        </w:tc>
        <w:tc>
          <w:tcPr/>
          <w:p>
            <w:pPr>
              <w:pStyle w:val="Compact"/>
              <w:jc w:val="left"/>
            </w:pPr>
            <w:r>
              <w:t xml:space="preserve">USD 23 / yr (NLe 500)</w:t>
            </w:r>
          </w:p>
        </w:tc>
        <w:tc>
          <w:tcPr/>
          <w:p>
            <w:pPr>
              <w:pStyle w:val="Compact"/>
              <w:jc w:val="left"/>
            </w:pPr>
            <w:r>
              <w:t xml:space="preserve">n/a (lump sum)</w:t>
            </w:r>
          </w:p>
        </w:tc>
        <w:tc>
          <w:tcPr/>
          <w:p>
            <w:pPr>
              <w:pStyle w:val="Compact"/>
              <w:jc w:val="left"/>
            </w:pPr>
            <w:r>
              <w:t xml:space="preserve">Negligible — new in FA2026, base small</w:t>
            </w:r>
          </w:p>
        </w:tc>
      </w:tr>
      <w:tr>
        <w:tc>
          <w:tcPr/>
          <w:p>
            <w:pPr>
              <w:pStyle w:val="Compact"/>
              <w:jc w:val="left"/>
            </w:pPr>
            <w:r>
              <w:rPr>
                <w:b/>
                <w:bCs/>
              </w:rPr>
              <w:t xml:space="preserve">Sierra Leone</w:t>
            </w:r>
          </w:p>
        </w:tc>
        <w:tc>
          <w:tcPr/>
          <w:p>
            <w:pPr>
              <w:pStyle w:val="Compact"/>
              <w:jc w:val="left"/>
            </w:pPr>
            <w:r>
              <w:t xml:space="preserve">Vehicle circulation levy — motorbikes</w:t>
            </w:r>
          </w:p>
        </w:tc>
        <w:tc>
          <w:tcPr/>
          <w:p>
            <w:pPr>
              <w:pStyle w:val="Compact"/>
              <w:jc w:val="left"/>
            </w:pPr>
            <w:r>
              <w:t xml:space="preserve">USD 9 / yr (NLe 200)</w:t>
            </w:r>
          </w:p>
        </w:tc>
        <w:tc>
          <w:tcPr/>
          <w:p>
            <w:pPr>
              <w:pStyle w:val="Compact"/>
              <w:jc w:val="left"/>
            </w:pPr>
            <w:r>
              <w:t xml:space="preserve">n/a (lump sum)</w:t>
            </w:r>
          </w:p>
        </w:tc>
        <w:tc>
          <w:tcPr/>
          <w:p>
            <w:pPr>
              <w:pStyle w:val="Compact"/>
              <w:jc w:val="left"/>
            </w:pPr>
            <w:r>
              <w:t xml:space="preserve">Negligible</w:t>
            </w:r>
          </w:p>
        </w:tc>
      </w:tr>
    </w:tbl>
    <w:bookmarkEnd w:id="45"/>
    <w:bookmarkStart w:id="46" w:name="a5.2-health-tobacco"/>
    <w:p>
      <w:pPr>
        <w:pStyle w:val="Heading3"/>
      </w:pPr>
      <w:r>
        <w:t xml:space="preserve">A5.2 Health — tobacco</w:t>
      </w:r>
    </w:p>
    <w:tbl>
      <w:tblPr>
        <w:tblStyle w:val="Table"/>
        <w:tblW w:type="pct" w:w="4943"/>
        <w:tblLayout w:type="fixed"/>
        <w:tblLook w:firstRow="1" w:lastRow="0" w:firstColumn="0" w:lastColumn="0" w:noHBand="0" w:noVBand="0" w:val="0020"/>
      </w:tblPr>
      <w:tblGrid>
        <w:gridCol w:w="855"/>
        <w:gridCol w:w="2115"/>
        <w:gridCol w:w="1350"/>
        <w:gridCol w:w="1755"/>
        <w:gridCol w:w="1755"/>
      </w:tblGrid>
      <w:tr>
        <w:trPr>
          <w:tblHeader w:val="on"/>
        </w:trPr>
        <w:tc>
          <w:tcPr/>
          <w:p>
            <w:pPr>
              <w:pStyle w:val="Compact"/>
              <w:jc w:val="left"/>
            </w:pPr>
            <w:r>
              <w:rPr>
                <w:b/>
                <w:bCs/>
              </w:rPr>
              <w:t xml:space="preserve">Country</w:t>
            </w:r>
          </w:p>
        </w:tc>
        <w:tc>
          <w:tcPr/>
          <w:p>
            <w:pPr>
              <w:pStyle w:val="Compact"/>
              <w:jc w:val="left"/>
            </w:pPr>
            <w:r>
              <w:rPr>
                <w:b/>
                <w:bCs/>
              </w:rPr>
              <w:t xml:space="preserve">Item</w:t>
            </w:r>
          </w:p>
        </w:tc>
        <w:tc>
          <w:tcPr/>
          <w:p>
            <w:pPr>
              <w:pStyle w:val="Compact"/>
              <w:jc w:val="left"/>
            </w:pPr>
            <w:r>
              <w:rPr>
                <w:b/>
                <w:bCs/>
              </w:rPr>
              <w:t xml:space="preserve">Excise per pack of 20</w:t>
            </w:r>
          </w:p>
        </w:tc>
        <w:tc>
          <w:tcPr/>
          <w:p>
            <w:pPr>
              <w:pStyle w:val="Compact"/>
              <w:jc w:val="left"/>
            </w:pPr>
            <w:r>
              <w:rPr>
                <w:b/>
                <w:bCs/>
              </w:rPr>
              <w:t xml:space="preserve">Excise as % of retail pack price</w:t>
            </w:r>
          </w:p>
        </w:tc>
        <w:tc>
          <w:tcPr/>
          <w:p>
            <w:pPr>
              <w:pStyle w:val="Compact"/>
              <w:jc w:val="left"/>
            </w:pPr>
            <w:r>
              <w:rPr>
                <w:b/>
                <w:bCs/>
              </w:rPr>
              <w:t xml:space="preserve">Implied excise revenue, % of GDP</w:t>
            </w:r>
          </w:p>
        </w:tc>
      </w:tr>
      <w:tr>
        <w:tc>
          <w:tcPr/>
          <w:p>
            <w:pPr>
              <w:pStyle w:val="Compact"/>
              <w:jc w:val="left"/>
            </w:pPr>
            <w:r>
              <w:rPr>
                <w:b/>
                <w:bCs/>
              </w:rPr>
              <w:t xml:space="preserve">Uganda</w:t>
            </w:r>
          </w:p>
        </w:tc>
        <w:tc>
          <w:tcPr/>
          <w:p>
            <w:pPr>
              <w:pStyle w:val="Compact"/>
              <w:jc w:val="left"/>
            </w:pPr>
            <w:r>
              <w:t xml:space="preserve">Cigarettes — soft cap, locally manufactured</w:t>
            </w:r>
          </w:p>
        </w:tc>
        <w:tc>
          <w:tcPr/>
          <w:p>
            <w:pPr>
              <w:pStyle w:val="Compact"/>
              <w:jc w:val="left"/>
            </w:pPr>
            <w:r>
              <w:t xml:space="preserve">USD 0.35 / pack (UGX 1,300)</w:t>
            </w:r>
          </w:p>
        </w:tc>
        <w:tc>
          <w:tcPr/>
          <w:p>
            <w:pPr>
              <w:pStyle w:val="Compact"/>
              <w:jc w:val="left"/>
            </w:pPr>
            <w:r>
              <w:t xml:space="preserve">~30% of pack price (~UGX 4,300)</w:t>
            </w:r>
          </w:p>
        </w:tc>
        <w:tc>
          <w:tcPr/>
          <w:p>
            <w:pPr>
              <w:pStyle w:val="Compact"/>
              <w:jc w:val="left"/>
            </w:pPr>
            <w:r>
              <w:t xml:space="preserve">~0.05% of GDP at ~700 m sticks/yr</w:t>
            </w:r>
          </w:p>
        </w:tc>
      </w:tr>
      <w:tr>
        <w:tc>
          <w:tcPr/>
          <w:p>
            <w:pPr>
              <w:pStyle w:val="Compact"/>
              <w:jc w:val="left"/>
            </w:pPr>
            <w:r>
              <w:rPr>
                <w:b/>
                <w:bCs/>
              </w:rPr>
              <w:t xml:space="preserve">Uganda</w:t>
            </w:r>
          </w:p>
        </w:tc>
        <w:tc>
          <w:tcPr/>
          <w:p>
            <w:pPr>
              <w:pStyle w:val="Compact"/>
              <w:jc w:val="left"/>
            </w:pPr>
            <w:r>
              <w:t xml:space="preserve">Cigarettes — soft cap, imported</w:t>
            </w:r>
          </w:p>
        </w:tc>
        <w:tc>
          <w:tcPr/>
          <w:p>
            <w:pPr>
              <w:pStyle w:val="Compact"/>
              <w:jc w:val="left"/>
            </w:pPr>
            <w:r>
              <w:t xml:space="preserve">USD 0.80 / pack (UGX 3,000)</w:t>
            </w:r>
          </w:p>
        </w:tc>
        <w:tc>
          <w:tcPr/>
          <w:p>
            <w:pPr>
              <w:pStyle w:val="Compact"/>
              <w:jc w:val="left"/>
            </w:pPr>
            <w:r>
              <w:t xml:space="preserve">~50% of pack price (~UGX 6,000)</w:t>
            </w:r>
          </w:p>
        </w:tc>
        <w:tc>
          <w:tcPr/>
          <w:p>
            <w:pPr>
              <w:pStyle w:val="Compact"/>
              <w:jc w:val="left"/>
            </w:pPr>
            <w:r>
              <w:t xml:space="preserve">~0.02% of GDP</w:t>
            </w:r>
          </w:p>
        </w:tc>
      </w:tr>
      <w:tr>
        <w:tc>
          <w:tcPr/>
          <w:p>
            <w:pPr>
              <w:pStyle w:val="Compact"/>
              <w:jc w:val="left"/>
            </w:pPr>
            <w:r>
              <w:rPr>
                <w:b/>
                <w:bCs/>
              </w:rPr>
              <w:t xml:space="preserve">Uganda</w:t>
            </w:r>
          </w:p>
        </w:tc>
        <w:tc>
          <w:tcPr/>
          <w:p>
            <w:pPr>
              <w:pStyle w:val="Compact"/>
              <w:jc w:val="left"/>
            </w:pPr>
            <w:r>
              <w:t xml:space="preserve">Cigarettes — hinge lid, locally manufactured</w:t>
            </w:r>
          </w:p>
        </w:tc>
        <w:tc>
          <w:tcPr/>
          <w:p>
            <w:pPr>
              <w:pStyle w:val="Compact"/>
              <w:jc w:val="left"/>
            </w:pPr>
            <w:r>
              <w:t xml:space="preserve">USD 0.48 / pack (UGX 1,800)</w:t>
            </w:r>
          </w:p>
        </w:tc>
        <w:tc>
          <w:tcPr/>
          <w:p>
            <w:pPr>
              <w:pStyle w:val="Compact"/>
              <w:jc w:val="left"/>
            </w:pPr>
            <w:r>
              <w:t xml:space="preserve">~35% of pack price</w:t>
            </w:r>
          </w:p>
        </w:tc>
        <w:tc>
          <w:tcPr/>
          <w:p>
            <w:pPr>
              <w:pStyle w:val="Compact"/>
              <w:jc w:val="left"/>
            </w:pPr>
            <w:r>
              <w:t xml:space="preserve">~0.03% of GDP</w:t>
            </w:r>
          </w:p>
        </w:tc>
      </w:tr>
      <w:tr>
        <w:tc>
          <w:tcPr/>
          <w:p>
            <w:pPr>
              <w:pStyle w:val="Compact"/>
              <w:jc w:val="left"/>
            </w:pPr>
            <w:r>
              <w:rPr>
                <w:b/>
                <w:bCs/>
              </w:rPr>
              <w:t xml:space="preserve">Uganda</w:t>
            </w:r>
          </w:p>
        </w:tc>
        <w:tc>
          <w:tcPr/>
          <w:p>
            <w:pPr>
              <w:pStyle w:val="Compact"/>
              <w:jc w:val="left"/>
            </w:pPr>
            <w:r>
              <w:t xml:space="preserve">Cigarettes — hinge lid, imported</w:t>
            </w:r>
          </w:p>
        </w:tc>
        <w:tc>
          <w:tcPr/>
          <w:p>
            <w:pPr>
              <w:pStyle w:val="Compact"/>
              <w:jc w:val="left"/>
            </w:pPr>
            <w:r>
              <w:t xml:space="preserve">USD 1.07 / pack (UGX 4,000)</w:t>
            </w:r>
          </w:p>
        </w:tc>
        <w:tc>
          <w:tcPr/>
          <w:p>
            <w:pPr>
              <w:pStyle w:val="Compact"/>
              <w:jc w:val="left"/>
            </w:pPr>
            <w:r>
              <w:t xml:space="preserve">~55% of pack price</w:t>
            </w:r>
          </w:p>
        </w:tc>
        <w:tc>
          <w:tcPr/>
          <w:p>
            <w:pPr>
              <w:pStyle w:val="Compact"/>
              <w:jc w:val="left"/>
            </w:pPr>
            <w:r>
              <w:t xml:space="preserve">~0.02% of GDP</w:t>
            </w:r>
          </w:p>
        </w:tc>
      </w:tr>
      <w:tr>
        <w:tc>
          <w:tcPr/>
          <w:p>
            <w:pPr>
              <w:pStyle w:val="Compact"/>
              <w:jc w:val="left"/>
            </w:pPr>
            <w:r>
              <w:rPr>
                <w:b/>
                <w:bCs/>
              </w:rPr>
              <w:t xml:space="preserve">Sierra Leone</w:t>
            </w:r>
          </w:p>
        </w:tc>
        <w:tc>
          <w:tcPr/>
          <w:p>
            <w:pPr>
              <w:pStyle w:val="Compact"/>
              <w:jc w:val="left"/>
            </w:pPr>
            <w:r>
              <w:t xml:space="preserve">Cigarettes (specific, single rate)</w:t>
            </w:r>
          </w:p>
        </w:tc>
        <w:tc>
          <w:tcPr/>
          <w:p>
            <w:pPr>
              <w:pStyle w:val="Compact"/>
              <w:jc w:val="left"/>
            </w:pPr>
            <w:r>
              <w:t xml:space="preserve">USD 0.14 / pack (NLe 3)</w:t>
            </w:r>
          </w:p>
        </w:tc>
        <w:tc>
          <w:tcPr/>
          <w:p>
            <w:pPr>
              <w:pStyle w:val="Compact"/>
              <w:jc w:val="left"/>
            </w:pPr>
            <w:r>
              <w:t xml:space="preserve">~10–15% of pack price (~NLe 22)</w:t>
            </w:r>
          </w:p>
        </w:tc>
        <w:tc>
          <w:tcPr/>
          <w:p>
            <w:pPr>
              <w:pStyle w:val="Compact"/>
              <w:jc w:val="left"/>
            </w:pPr>
            <w:r>
              <w:t xml:space="preserve">~0.02% of GDP</w:t>
            </w:r>
          </w:p>
        </w:tc>
      </w:tr>
    </w:tbl>
    <w:bookmarkEnd w:id="46"/>
    <w:bookmarkStart w:id="47" w:name="a5.3-health-alcohol"/>
    <w:p>
      <w:pPr>
        <w:pStyle w:val="Heading3"/>
      </w:pPr>
      <w:r>
        <w:t xml:space="preserve">A5.3 Health — alcohol</w:t>
      </w:r>
    </w:p>
    <w:tbl>
      <w:tblPr>
        <w:tblStyle w:val="Table"/>
        <w:tblW w:type="pct" w:w="4959"/>
        <w:tblLayout w:type="fixed"/>
        <w:tblLook w:firstRow="1" w:lastRow="0" w:firstColumn="0" w:lastColumn="0" w:noHBand="0" w:noVBand="0" w:val="0020"/>
      </w:tblPr>
      <w:tblGrid>
        <w:gridCol w:w="621"/>
        <w:gridCol w:w="2192"/>
        <w:gridCol w:w="1669"/>
        <w:gridCol w:w="1734"/>
        <w:gridCol w:w="1636"/>
      </w:tblGrid>
      <w:tr>
        <w:trPr>
          <w:tblHeader w:val="on"/>
        </w:trPr>
        <w:tc>
          <w:tcPr/>
          <w:p>
            <w:pPr>
              <w:pStyle w:val="Compact"/>
              <w:jc w:val="left"/>
            </w:pPr>
            <w:r>
              <w:rPr>
                <w:b/>
                <w:bCs/>
              </w:rPr>
              <w:t xml:space="preserve">Country</w:t>
            </w:r>
          </w:p>
        </w:tc>
        <w:tc>
          <w:tcPr/>
          <w:p>
            <w:pPr>
              <w:pStyle w:val="Compact"/>
              <w:jc w:val="left"/>
            </w:pPr>
            <w:r>
              <w:rPr>
                <w:b/>
                <w:bCs/>
              </w:rPr>
              <w:t xml:space="preserve">Item</w:t>
            </w:r>
          </w:p>
        </w:tc>
        <w:tc>
          <w:tcPr/>
          <w:p>
            <w:pPr>
              <w:pStyle w:val="Compact"/>
              <w:jc w:val="left"/>
            </w:pPr>
            <w:r>
              <w:rPr>
                <w:b/>
                <w:bCs/>
              </w:rPr>
              <w:t xml:space="preserve">Excise per litre of pure alcohol (USD, est.)</w:t>
            </w:r>
          </w:p>
        </w:tc>
        <w:tc>
          <w:tcPr/>
          <w:p>
            <w:pPr>
              <w:pStyle w:val="Compact"/>
              <w:jc w:val="left"/>
            </w:pPr>
            <w:r>
              <w:rPr>
                <w:b/>
                <w:bCs/>
              </w:rPr>
              <w:t xml:space="preserve">Excise as % of retail price (est.)</w:t>
            </w:r>
          </w:p>
        </w:tc>
        <w:tc>
          <w:tcPr/>
          <w:p>
            <w:pPr>
              <w:pStyle w:val="Compact"/>
              <w:jc w:val="left"/>
            </w:pPr>
            <w:r>
              <w:rPr>
                <w:b/>
                <w:bCs/>
              </w:rPr>
              <w:t xml:space="preserve">Implied excise revenue, % of GDP</w:t>
            </w:r>
          </w:p>
        </w:tc>
      </w:tr>
      <w:tr>
        <w:tc>
          <w:tcPr/>
          <w:p>
            <w:pPr>
              <w:pStyle w:val="Compact"/>
              <w:jc w:val="left"/>
            </w:pPr>
            <w:r>
              <w:rPr>
                <w:b/>
                <w:bCs/>
              </w:rPr>
              <w:t xml:space="preserve">Uganda</w:t>
            </w:r>
          </w:p>
        </w:tc>
        <w:tc>
          <w:tcPr/>
          <w:p>
            <w:pPr>
              <w:pStyle w:val="Compact"/>
              <w:jc w:val="left"/>
            </w:pPr>
            <w:r>
              <w:t xml:space="preserve">Malt beer (60% or UGX 2,050/litre, ~5% ABV)</w:t>
            </w:r>
          </w:p>
        </w:tc>
        <w:tc>
          <w:tcPr/>
          <w:p>
            <w:pPr>
              <w:pStyle w:val="Compact"/>
              <w:jc w:val="left"/>
            </w:pPr>
            <w:r>
              <w:t xml:space="preserve">USD ~11 / LPA (specific binds)</w:t>
            </w:r>
          </w:p>
        </w:tc>
        <w:tc>
          <w:tcPr/>
          <w:p>
            <w:pPr>
              <w:pStyle w:val="Compact"/>
              <w:jc w:val="left"/>
            </w:pPr>
            <w:r>
              <w:t xml:space="preserve">~30% of retail (~UGX 3,500/500ml)</w:t>
            </w:r>
          </w:p>
        </w:tc>
        <w:tc>
          <w:tcPr/>
          <w:p>
            <w:pPr>
              <w:pStyle w:val="Compact"/>
              <w:jc w:val="left"/>
            </w:pPr>
            <w:r>
              <w:t xml:space="preserve">~0.2% of GDP combined across all alcohol lines</w:t>
            </w:r>
          </w:p>
        </w:tc>
      </w:tr>
      <w:tr>
        <w:tc>
          <w:tcPr/>
          <w:p>
            <w:pPr>
              <w:pStyle w:val="Compact"/>
              <w:jc w:val="left"/>
            </w:pPr>
            <w:r>
              <w:rPr>
                <w:b/>
                <w:bCs/>
              </w:rPr>
              <w:t xml:space="preserve">Uganda</w:t>
            </w:r>
          </w:p>
        </w:tc>
        <w:tc>
          <w:tcPr/>
          <w:p>
            <w:pPr>
              <w:pStyle w:val="Compact"/>
              <w:jc w:val="left"/>
            </w:pPr>
            <w:r>
              <w:t xml:space="preserve">Beer ≥75% local content (30% or UGX 900/litre)</w:t>
            </w:r>
          </w:p>
        </w:tc>
        <w:tc>
          <w:tcPr/>
          <w:p>
            <w:pPr>
              <w:pStyle w:val="Compact"/>
              <w:jc w:val="left"/>
            </w:pPr>
            <w:r>
              <w:t xml:space="preserve">USD ~5 / LPA</w:t>
            </w:r>
          </w:p>
        </w:tc>
        <w:tc>
          <w:tcPr/>
          <w:p>
            <w:pPr>
              <w:pStyle w:val="Compact"/>
              <w:jc w:val="left"/>
            </w:pPr>
            <w:r>
              <w:t xml:space="preserve">~15% of retail</w:t>
            </w:r>
          </w:p>
        </w:tc>
        <w:tc>
          <w:tcPr/>
          <w:p>
            <w:pPr>
              <w:pStyle w:val="Compact"/>
              <w:jc w:val="left"/>
            </w:pPr>
            <w:r>
              <w:t xml:space="preserve">(included above)</w:t>
            </w:r>
          </w:p>
        </w:tc>
      </w:tr>
      <w:tr>
        <w:tc>
          <w:tcPr/>
          <w:p>
            <w:pPr>
              <w:pStyle w:val="Compact"/>
              <w:jc w:val="left"/>
            </w:pPr>
            <w:r>
              <w:rPr>
                <w:b/>
                <w:bCs/>
              </w:rPr>
              <w:t xml:space="preserve">Uganda</w:t>
            </w:r>
          </w:p>
        </w:tc>
        <w:tc>
          <w:tcPr/>
          <w:p>
            <w:pPr>
              <w:pStyle w:val="Compact"/>
              <w:jc w:val="left"/>
            </w:pPr>
            <w:r>
              <w:t xml:space="preserve">Opaque beer (12% or UGX 150/litre, ~4% ABV)</w:t>
            </w:r>
          </w:p>
        </w:tc>
        <w:tc>
          <w:tcPr/>
          <w:p>
            <w:pPr>
              <w:pStyle w:val="Compact"/>
              <w:jc w:val="left"/>
            </w:pPr>
            <w:r>
              <w:t xml:space="preserve">USD ~1 / LPA</w:t>
            </w:r>
          </w:p>
        </w:tc>
        <w:tc>
          <w:tcPr/>
          <w:p>
            <w:pPr>
              <w:pStyle w:val="Compact"/>
              <w:jc w:val="left"/>
            </w:pPr>
            <w:r>
              <w:t xml:space="preserve">~10% of retail (informal market)</w:t>
            </w:r>
          </w:p>
        </w:tc>
        <w:tc>
          <w:tcPr/>
          <w:p>
            <w:pPr>
              <w:pStyle w:val="Compact"/>
              <w:jc w:val="left"/>
            </w:pPr>
            <w:r>
              <w:t xml:space="preserve">(included above)</w:t>
            </w:r>
          </w:p>
        </w:tc>
      </w:tr>
      <w:tr>
        <w:tc>
          <w:tcPr/>
          <w:p>
            <w:pPr>
              <w:pStyle w:val="Compact"/>
              <w:jc w:val="left"/>
            </w:pPr>
            <w:r>
              <w:rPr>
                <w:b/>
                <w:bCs/>
              </w:rPr>
              <w:t xml:space="preserve">Uganda</w:t>
            </w:r>
          </w:p>
        </w:tc>
        <w:tc>
          <w:tcPr/>
          <w:p>
            <w:pPr>
              <w:pStyle w:val="Compact"/>
              <w:jc w:val="left"/>
            </w:pPr>
            <w:r>
              <w:t xml:space="preserve">Spirits, local raw materials (60% or UGX 1,500/litre, ~40% ABV)</w:t>
            </w:r>
          </w:p>
        </w:tc>
        <w:tc>
          <w:tcPr/>
          <w:p>
            <w:pPr>
              <w:pStyle w:val="Compact"/>
              <w:jc w:val="left"/>
            </w:pPr>
            <w:r>
              <w:t xml:space="preserve">USD ~1 / LPA</w:t>
            </w:r>
          </w:p>
        </w:tc>
        <w:tc>
          <w:tcPr/>
          <w:p>
            <w:pPr>
              <w:pStyle w:val="Compact"/>
              <w:jc w:val="left"/>
            </w:pPr>
            <w:r>
              <w:t xml:space="preserve">~15% of retail (specific binds for cheap spirits)</w:t>
            </w:r>
          </w:p>
        </w:tc>
        <w:tc>
          <w:tcPr/>
          <w:p>
            <w:pPr>
              <w:pStyle w:val="Compact"/>
              <w:jc w:val="left"/>
            </w:pPr>
            <w:r>
              <w:t xml:space="preserve">(included above)</w:t>
            </w:r>
          </w:p>
        </w:tc>
      </w:tr>
      <w:tr>
        <w:tc>
          <w:tcPr/>
          <w:p>
            <w:pPr>
              <w:pStyle w:val="Compact"/>
              <w:jc w:val="left"/>
            </w:pPr>
            <w:r>
              <w:rPr>
                <w:b/>
                <w:bCs/>
              </w:rPr>
              <w:t xml:space="preserve">Sierra Leone</w:t>
            </w:r>
          </w:p>
        </w:tc>
        <w:tc>
          <w:tcPr/>
          <w:p>
            <w:pPr>
              <w:pStyle w:val="Compact"/>
              <w:jc w:val="left"/>
            </w:pPr>
            <w:r>
              <w:t xml:space="preserve">Beer 22.09 D1 (5%, ~5% ABV, retail ~NLe 25/500ml)</w:t>
            </w:r>
          </w:p>
        </w:tc>
        <w:tc>
          <w:tcPr/>
          <w:p>
            <w:pPr>
              <w:pStyle w:val="Compact"/>
              <w:jc w:val="left"/>
            </w:pPr>
            <w:r>
              <w:t xml:space="preserve">USD ~2 / LPA</w:t>
            </w:r>
          </w:p>
        </w:tc>
        <w:tc>
          <w:tcPr/>
          <w:p>
            <w:pPr>
              <w:pStyle w:val="Compact"/>
              <w:jc w:val="left"/>
            </w:pPr>
            <w:r>
              <w:t xml:space="preserve">~5% of retail</w:t>
            </w:r>
          </w:p>
        </w:tc>
        <w:tc>
          <w:tcPr/>
          <w:p>
            <w:pPr>
              <w:pStyle w:val="Compact"/>
              <w:jc w:val="left"/>
            </w:pPr>
            <w:r>
              <w:t xml:space="preserve">~0.05% of GDP — narrow base</w:t>
            </w:r>
          </w:p>
        </w:tc>
      </w:tr>
      <w:tr>
        <w:tc>
          <w:tcPr/>
          <w:p>
            <w:pPr>
              <w:pStyle w:val="Compact"/>
              <w:jc w:val="left"/>
            </w:pPr>
            <w:r>
              <w:rPr>
                <w:b/>
                <w:bCs/>
              </w:rPr>
              <w:t xml:space="preserve">Sierra Leone</w:t>
            </w:r>
          </w:p>
        </w:tc>
        <w:tc>
          <w:tcPr/>
          <w:p>
            <w:pPr>
              <w:pStyle w:val="Compact"/>
              <w:jc w:val="left"/>
            </w:pPr>
            <w:r>
              <w:t xml:space="preserve">Beer 22.09 D4 (15–20% ad val, ~5% ABV)</w:t>
            </w:r>
          </w:p>
        </w:tc>
        <w:tc>
          <w:tcPr/>
          <w:p>
            <w:pPr>
              <w:pStyle w:val="Compact"/>
              <w:jc w:val="left"/>
            </w:pPr>
            <w:r>
              <w:t xml:space="preserve">USD ~7 / LPA</w:t>
            </w:r>
          </w:p>
        </w:tc>
        <w:tc>
          <w:tcPr/>
          <w:p>
            <w:pPr>
              <w:pStyle w:val="Compact"/>
              <w:jc w:val="left"/>
            </w:pPr>
            <w:r>
              <w:t xml:space="preserve">~15–20% of retail</w:t>
            </w:r>
          </w:p>
        </w:tc>
        <w:tc>
          <w:tcPr/>
          <w:p>
            <w:pPr>
              <w:pStyle w:val="Compact"/>
              <w:jc w:val="left"/>
            </w:pPr>
            <w:r>
              <w:t xml:space="preserve">(included above)</w:t>
            </w:r>
          </w:p>
        </w:tc>
      </w:tr>
      <w:tr>
        <w:tc>
          <w:tcPr/>
          <w:p>
            <w:pPr>
              <w:pStyle w:val="Compact"/>
              <w:jc w:val="left"/>
            </w:pPr>
            <w:r>
              <w:rPr>
                <w:b/>
                <w:bCs/>
              </w:rPr>
              <w:t xml:space="preserve">Sierra Leone</w:t>
            </w:r>
          </w:p>
        </w:tc>
        <w:tc>
          <w:tcPr/>
          <w:p>
            <w:pPr>
              <w:pStyle w:val="Compact"/>
              <w:jc w:val="left"/>
            </w:pPr>
            <w:r>
              <w:t xml:space="preserve">Wine — sparkling local (Le 4.20/litre, ~12% ABV)</w:t>
            </w:r>
          </w:p>
        </w:tc>
        <w:tc>
          <w:tcPr/>
          <w:p>
            <w:pPr>
              <w:pStyle w:val="Compact"/>
              <w:jc w:val="left"/>
            </w:pPr>
            <w:r>
              <w:t xml:space="preserve">USD ~0.002 / LPA</w:t>
            </w:r>
          </w:p>
        </w:tc>
        <w:tc>
          <w:tcPr/>
          <w:p>
            <w:pPr>
              <w:pStyle w:val="Compact"/>
              <w:jc w:val="left"/>
            </w:pPr>
            <w:r>
              <w:t xml:space="preserve">&lt;0.1% of retail</w:t>
            </w:r>
          </w:p>
        </w:tc>
        <w:tc>
          <w:tcPr/>
          <w:p>
            <w:pPr>
              <w:pStyle w:val="Compact"/>
              <w:jc w:val="left"/>
            </w:pPr>
            <w:r>
              <w:t xml:space="preserve">Negligible — Old-Le rate not yet redenominated</w:t>
            </w:r>
          </w:p>
        </w:tc>
      </w:tr>
      <w:tr>
        <w:tc>
          <w:tcPr/>
          <w:p>
            <w:pPr>
              <w:pStyle w:val="Compact"/>
              <w:jc w:val="left"/>
            </w:pPr>
            <w:r>
              <w:rPr>
                <w:b/>
                <w:bCs/>
              </w:rPr>
              <w:t xml:space="preserve">Sierra Leone</w:t>
            </w:r>
          </w:p>
        </w:tc>
        <w:tc>
          <w:tcPr/>
          <w:p>
            <w:pPr>
              <w:pStyle w:val="Compact"/>
              <w:jc w:val="left"/>
            </w:pPr>
            <w:r>
              <w:t xml:space="preserve">Wine — &gt;40% ABV import (Le 22/litre)</w:t>
            </w:r>
          </w:p>
        </w:tc>
        <w:tc>
          <w:tcPr/>
          <w:p>
            <w:pPr>
              <w:pStyle w:val="Compact"/>
              <w:jc w:val="left"/>
            </w:pPr>
            <w:r>
              <w:t xml:space="preserve">USD ~0.0025 / LPA</w:t>
            </w:r>
          </w:p>
        </w:tc>
        <w:tc>
          <w:tcPr/>
          <w:p>
            <w:pPr>
              <w:pStyle w:val="Compact"/>
              <w:jc w:val="left"/>
            </w:pPr>
            <w:r>
              <w:t xml:space="preserve">&lt;0.1% of retail</w:t>
            </w:r>
          </w:p>
        </w:tc>
        <w:tc>
          <w:tcPr/>
          <w:p>
            <w:pPr>
              <w:pStyle w:val="Compact"/>
              <w:jc w:val="left"/>
            </w:pPr>
            <w:r>
              <w:t xml:space="preserve">Negligible</w:t>
            </w:r>
          </w:p>
        </w:tc>
      </w:tr>
    </w:tbl>
    <w:bookmarkEnd w:id="47"/>
    <w:bookmarkStart w:id="48" w:name="a5.4-health-sugar-sweetened-beverages"/>
    <w:p>
      <w:pPr>
        <w:pStyle w:val="Heading3"/>
      </w:pPr>
      <w:r>
        <w:t xml:space="preserve">A5.4 Health — sugar-sweetened beverages</w:t>
      </w:r>
    </w:p>
    <w:tbl>
      <w:tblPr>
        <w:tblStyle w:val="Table"/>
        <w:tblW w:type="pct" w:w="4955"/>
        <w:tblLayout w:type="fixed"/>
        <w:tblLook w:firstRow="1" w:lastRow="0" w:firstColumn="0" w:lastColumn="0" w:noHBand="0" w:noVBand="0" w:val="0020"/>
      </w:tblPr>
      <w:tblGrid>
        <w:gridCol w:w="680"/>
        <w:gridCol w:w="2186"/>
        <w:gridCol w:w="2042"/>
        <w:gridCol w:w="1469"/>
        <w:gridCol w:w="1469"/>
      </w:tblGrid>
      <w:tr>
        <w:trPr>
          <w:tblHeader w:val="on"/>
        </w:trPr>
        <w:tc>
          <w:tcPr/>
          <w:p>
            <w:pPr>
              <w:pStyle w:val="Compact"/>
              <w:jc w:val="left"/>
            </w:pPr>
            <w:r>
              <w:rPr>
                <w:b/>
                <w:bCs/>
              </w:rPr>
              <w:t xml:space="preserve">Country</w:t>
            </w:r>
          </w:p>
        </w:tc>
        <w:tc>
          <w:tcPr/>
          <w:p>
            <w:pPr>
              <w:pStyle w:val="Compact"/>
              <w:jc w:val="left"/>
            </w:pPr>
            <w:r>
              <w:rPr>
                <w:b/>
                <w:bCs/>
              </w:rPr>
              <w:t xml:space="preserve">Item</w:t>
            </w:r>
          </w:p>
        </w:tc>
        <w:tc>
          <w:tcPr/>
          <w:p>
            <w:pPr>
              <w:pStyle w:val="Compact"/>
              <w:jc w:val="left"/>
            </w:pPr>
            <w:r>
              <w:rPr>
                <w:b/>
                <w:bCs/>
              </w:rPr>
              <w:t xml:space="preserve">Excise per litre (USD)</w:t>
            </w:r>
          </w:p>
        </w:tc>
        <w:tc>
          <w:tcPr/>
          <w:p>
            <w:pPr>
              <w:pStyle w:val="Compact"/>
              <w:jc w:val="left"/>
            </w:pPr>
            <w:r>
              <w:rPr>
                <w:b/>
                <w:bCs/>
              </w:rPr>
              <w:t xml:space="preserve">Excise as % of retail</w:t>
            </w:r>
          </w:p>
        </w:tc>
        <w:tc>
          <w:tcPr/>
          <w:p>
            <w:pPr>
              <w:pStyle w:val="Compact"/>
              <w:jc w:val="left"/>
            </w:pPr>
            <w:r>
              <w:rPr>
                <w:b/>
                <w:bCs/>
              </w:rPr>
              <w:t xml:space="preserve">Implied excise revenue, % of GDP</w:t>
            </w:r>
          </w:p>
        </w:tc>
      </w:tr>
      <w:tr>
        <w:tc>
          <w:tcPr/>
          <w:p>
            <w:pPr>
              <w:pStyle w:val="Compact"/>
              <w:jc w:val="left"/>
            </w:pPr>
            <w:r>
              <w:rPr>
                <w:b/>
                <w:bCs/>
              </w:rPr>
              <w:t xml:space="preserve">Uganda</w:t>
            </w:r>
          </w:p>
        </w:tc>
        <w:tc>
          <w:tcPr/>
          <w:p>
            <w:pPr>
              <w:pStyle w:val="Compact"/>
              <w:jc w:val="left"/>
            </w:pPr>
            <w:r>
              <w:t xml:space="preserve">Non-alcoholic beverages excl. juice (12% or UGX 250/litre)</w:t>
            </w:r>
          </w:p>
        </w:tc>
        <w:tc>
          <w:tcPr/>
          <w:p>
            <w:pPr>
              <w:pStyle w:val="Compact"/>
              <w:jc w:val="left"/>
            </w:pPr>
            <w:r>
              <w:t xml:space="preserve">~USD 0.07 / litre</w:t>
            </w:r>
          </w:p>
        </w:tc>
        <w:tc>
          <w:tcPr/>
          <w:p>
            <w:pPr>
              <w:pStyle w:val="Compact"/>
              <w:jc w:val="left"/>
            </w:pPr>
            <w:r>
              <w:t xml:space="preserve">~10–12% of retail (~UGX 2,000/500ml)</w:t>
            </w:r>
          </w:p>
        </w:tc>
        <w:tc>
          <w:tcPr/>
          <w:p>
            <w:pPr>
              <w:pStyle w:val="Compact"/>
              <w:jc w:val="left"/>
            </w:pPr>
            <w:r>
              <w:t xml:space="preserve">~0.05% of GDP</w:t>
            </w:r>
          </w:p>
        </w:tc>
      </w:tr>
      <w:tr>
        <w:tc>
          <w:tcPr/>
          <w:p>
            <w:pPr>
              <w:pStyle w:val="Compact"/>
              <w:jc w:val="left"/>
            </w:pPr>
            <w:r>
              <w:rPr>
                <w:b/>
                <w:bCs/>
              </w:rPr>
              <w:t xml:space="preserve">Uganda</w:t>
            </w:r>
          </w:p>
        </w:tc>
        <w:tc>
          <w:tcPr/>
          <w:p>
            <w:pPr>
              <w:pStyle w:val="Compact"/>
              <w:jc w:val="left"/>
            </w:pPr>
            <w:r>
              <w:t xml:space="preserve">Fruit and vegetable juice (12% or UGX 250/litre)</w:t>
            </w:r>
          </w:p>
        </w:tc>
        <w:tc>
          <w:tcPr/>
          <w:p>
            <w:pPr>
              <w:pStyle w:val="Compact"/>
              <w:jc w:val="left"/>
            </w:pPr>
            <w:r>
              <w:t xml:space="preserve">~USD 0.07 / litre</w:t>
            </w:r>
          </w:p>
        </w:tc>
        <w:tc>
          <w:tcPr/>
          <w:p>
            <w:pPr>
              <w:pStyle w:val="Compact"/>
              <w:jc w:val="left"/>
            </w:pPr>
            <w:r>
              <w:t xml:space="preserve">~10% of retail</w:t>
            </w:r>
          </w:p>
        </w:tc>
        <w:tc>
          <w:tcPr/>
          <w:p>
            <w:pPr>
              <w:pStyle w:val="Compact"/>
              <w:jc w:val="left"/>
            </w:pPr>
            <w:r>
              <w:t xml:space="preserve">&lt;0.05% of GDP</w:t>
            </w:r>
          </w:p>
        </w:tc>
      </w:tr>
      <w:tr>
        <w:tc>
          <w:tcPr/>
          <w:p>
            <w:pPr>
              <w:pStyle w:val="Compact"/>
              <w:jc w:val="left"/>
            </w:pPr>
            <w:r>
              <w:rPr>
                <w:b/>
                <w:bCs/>
              </w:rPr>
              <w:t xml:space="preserve">Sierra Leone</w:t>
            </w:r>
          </w:p>
        </w:tc>
        <w:tc>
          <w:tcPr/>
          <w:p>
            <w:pPr>
              <w:pStyle w:val="Compact"/>
              <w:jc w:val="left"/>
            </w:pPr>
            <w:r>
              <w:t xml:space="preserve">Energy drinks (20% ad valorem)</w:t>
            </w:r>
          </w:p>
        </w:tc>
        <w:tc>
          <w:tcPr/>
          <w:p>
            <w:pPr>
              <w:pStyle w:val="Compact"/>
              <w:jc w:val="left"/>
            </w:pPr>
            <w:r>
              <w:t xml:space="preserve">Variable — ~USD 0.10–0.20 / litre depending on retail</w:t>
            </w:r>
          </w:p>
        </w:tc>
        <w:tc>
          <w:tcPr/>
          <w:p>
            <w:pPr>
              <w:pStyle w:val="Compact"/>
              <w:jc w:val="left"/>
            </w:pPr>
            <w:r>
              <w:t xml:space="preserve">20% of CIF / wholesale</w:t>
            </w:r>
          </w:p>
        </w:tc>
        <w:tc>
          <w:tcPr/>
          <w:p>
            <w:pPr>
              <w:pStyle w:val="Compact"/>
              <w:jc w:val="left"/>
            </w:pPr>
            <w:r>
              <w:t xml:space="preserve">&lt;0.05% of GDP</w:t>
            </w:r>
          </w:p>
        </w:tc>
      </w:tr>
      <w:tr>
        <w:tc>
          <w:tcPr/>
          <w:p>
            <w:pPr>
              <w:pStyle w:val="Compact"/>
              <w:jc w:val="left"/>
            </w:pPr>
            <w:r>
              <w:rPr>
                <w:b/>
                <w:bCs/>
              </w:rPr>
              <w:t xml:space="preserve">Sierra Leone</w:t>
            </w:r>
          </w:p>
        </w:tc>
        <w:tc>
          <w:tcPr/>
          <w:p>
            <w:pPr>
              <w:pStyle w:val="Compact"/>
              <w:jc w:val="left"/>
            </w:pPr>
            <w:r>
              <w:t xml:space="preserve">Imported fruit and vegetable juice (20% ad valorem)</w:t>
            </w:r>
          </w:p>
        </w:tc>
        <w:tc>
          <w:tcPr/>
          <w:p>
            <w:pPr>
              <w:pStyle w:val="Compact"/>
              <w:jc w:val="left"/>
            </w:pPr>
            <w:r>
              <w:t xml:space="preserve">Variable</w:t>
            </w:r>
          </w:p>
        </w:tc>
        <w:tc>
          <w:tcPr/>
          <w:p>
            <w:pPr>
              <w:pStyle w:val="Compact"/>
              <w:jc w:val="left"/>
            </w:pPr>
            <w:r>
              <w:t xml:space="preserve">20% of CIF</w:t>
            </w:r>
          </w:p>
        </w:tc>
        <w:tc>
          <w:tcPr/>
          <w:p>
            <w:pPr>
              <w:pStyle w:val="Compact"/>
              <w:jc w:val="left"/>
            </w:pPr>
            <w:r>
              <w:t xml:space="preserve">&lt;0.05% of GDP</w:t>
            </w:r>
          </w:p>
        </w:tc>
      </w:tr>
      <w:tr>
        <w:tc>
          <w:tcPr/>
          <w:p>
            <w:pPr>
              <w:pStyle w:val="Compact"/>
              <w:jc w:val="left"/>
            </w:pPr>
            <w:r>
              <w:rPr>
                <w:b/>
                <w:bCs/>
              </w:rPr>
              <w:t xml:space="preserve">Sierra Leone</w:t>
            </w:r>
          </w:p>
        </w:tc>
        <w:tc>
          <w:tcPr/>
          <w:p>
            <w:pPr>
              <w:pStyle w:val="Compact"/>
              <w:jc w:val="left"/>
            </w:pPr>
            <w:r>
              <w:t xml:space="preserve">General soft drinks</w:t>
            </w:r>
          </w:p>
        </w:tc>
        <w:tc>
          <w:tcPr/>
          <w:p>
            <w:pPr>
              <w:pStyle w:val="Compact"/>
              <w:jc w:val="left"/>
            </w:pPr>
            <w:r>
              <w:t xml:space="preserve">No specific excise</w:t>
            </w:r>
          </w:p>
        </w:tc>
        <w:tc>
          <w:tcPr/>
          <w:p>
            <w:pPr>
              <w:pStyle w:val="Compact"/>
              <w:jc w:val="left"/>
            </w:pPr>
            <w:r>
              <w:t xml:space="preserve">n/a</w:t>
            </w:r>
          </w:p>
        </w:tc>
        <w:tc>
          <w:tcPr/>
          <w:p>
            <w:pPr>
              <w:pStyle w:val="Compact"/>
              <w:jc w:val="left"/>
            </w:pPr>
            <w:r>
              <w:t xml:space="preserve">n/a</w:t>
            </w:r>
          </w:p>
        </w:tc>
      </w:tr>
    </w:tbl>
    <w:bookmarkEnd w:id="48"/>
    <w:bookmarkStart w:id="49" w:name="a5.5-international-benchmarks"/>
    <w:p>
      <w:pPr>
        <w:pStyle w:val="Heading3"/>
      </w:pPr>
      <w:r>
        <w:t xml:space="preserve">A5.5 International benchmarks</w:t>
      </w:r>
    </w:p>
    <w:p>
      <w:pPr>
        <w:pStyle w:val="FirstParagraph"/>
      </w:pPr>
      <w:r>
        <w:t xml:space="preserve">For the comparable measures referenced in A4: OECD-average fuel excise USD 0.55 per litre on petrol, 30 to 50 per cent of pump price, 1.5 to 2.5 per cent of GDP; South Africa USD 0.20 to 0.25 per litre. WHO recommended tobacco excise at least 75 per cent of retail pack price; South Africa raises approximately 0.4 per cent of GDP from tobacco; EU approximately 0.6 per cent. OECD alcohol excise USD 15 to 40 per LPA on beer, USD 25 to 50 per LPA on spirits; OECD alcohol revenue 0.4 to 0.6 per cent of GDP. UK SDIL GBP 0.18 to 0.24 per litre (approximately USD 0.23 to 0.30) by sugar content; Mexico approximately USD 0.05 per litre flat; South Africa HPL ZAR 0.0221 per gram of sugar above 4g/100ml.</w:t>
      </w:r>
    </w:p>
    <w:bookmarkEnd w:id="49"/>
    <w:bookmarkEnd w:id="50"/>
    <w:bookmarkStart w:id="51" w:name="a6.-part-a-conclusion"/>
    <w:p>
      <w:pPr>
        <w:pStyle w:val="Heading1"/>
      </w:pPr>
      <w:r>
        <w:t xml:space="preserve">A6. Part A conclusion</w:t>
      </w:r>
    </w:p>
    <w:p>
      <w:pPr>
        <w:pStyle w:val="FirstParagraph"/>
      </w:pPr>
      <w:r>
        <w:t xml:space="preserve">The diagnostic delivers three things that the schedule alone does not. First, a structured representation that is comparable across categories, across countries, and against international benchmarks. Second, a set of three scaled measures — $/unit, per cent of consumer price, per cent of GDP — that triangulate the policy intensity of each excise line from complementary angles. Third, visibility on anomalies and gaps that are invisible on the schedule. The Sierra Leonean wine redenomination anomaly is the clearest example: the rates look normal in the schedule but compute to essentially zero once standardised. The Ugandan kerosene rate at UGX 200 per litre — unchanged since 2018 and now under 5 per cent of pump price — is another.</w:t>
      </w:r>
    </w:p>
    <w:p>
      <w:pPr>
        <w:pStyle w:val="BodyText"/>
      </w:pPr>
      <w:r>
        <w:t xml:space="preserve">Three reform candidates emerge from the comparative measures rather than from the schedule itself. First, redenominate the Sierra Leonean wine schedule (one-line amendment in the next Finance Act). Second, introduce a sugar-content-graduated SSB excise in both countries — the rate gap to peers is largest here and the public-health rationale is well-evidenced. Third, lift Sierra Leonean cigarette excise from approximately USD 0.14 per pack toward Uganda’s lowest tier (USD 0.35) — a phased path of perhaps three Finance Acts at plus 30 per cent each. None of these is on the immediate legislative horizon in either country, but all three are straightforward extensions of the existing schedule architecture rather than structural reforms. Part C of this paper picks up these candidates and develops them into a sequenced reform pathway, alongside the externality-driven candidates from Part B.</w:t>
      </w:r>
    </w:p>
    <w:p>
      <w:pPr>
        <w:pStyle w:val="BodyText"/>
      </w:pPr>
      <w:r>
        <w:t xml:space="preserve">More broadly, the diagnostic suggests that the reform agenda in both countries is converging on a similar shape: indexation of specific rates to break the erosion-and-catch-up cycle visible in Appendix B; introduction of sugar-content-graduated SSB excise to plug the clearest gap relative to peers; and either explicit carbon-tax overlay on fuel or graduated emissions-based vehicle taxation to make environmental policy do work that fuel excise currently does only by accident.</w:t>
      </w:r>
    </w:p>
    <w:p>
      <w:pPr>
        <w:pStyle w:val="BodyText"/>
      </w:pPr>
      <w:r>
        <w:t xml:space="preserve">The framework is replicable. Applied to a third country, the same five fields and three measures would produce a comparable diagnostic; applied to a region or a peer group, the framework would generate a multi-country comparative table on identical structure. The methodology is intentionally light: it is the discipline of consistent recording and consistent measurement, not a sophisticated analytical apparatus, that does the work.</w:t>
      </w:r>
    </w:p>
    <w:p>
      <w:pPr>
        <w:pStyle w:val="BodyText"/>
      </w:pPr>
      <w:r>
        <w:rPr>
          <w:b/>
          <w:bCs/>
        </w:rPr>
        <w:t xml:space="preserve">PART B</w:t>
      </w:r>
    </w:p>
    <w:p>
      <w:pPr>
        <w:pStyle w:val="BodyText"/>
      </w:pPr>
      <w:r>
        <w:rPr>
          <w:b/>
          <w:bCs/>
        </w:rPr>
        <w:t xml:space="preserve">Health and Climate Externality Diagnostic</w:t>
      </w:r>
    </w:p>
    <w:p>
      <w:pPr>
        <w:pStyle w:val="BodyText"/>
      </w:pPr>
      <w:r>
        <w:rPr>
          <w:i/>
          <w:iCs/>
        </w:rPr>
        <w:t xml:space="preserve">A standardised fuel and vehicle tax diagnostic for developing countries — integrating CPAT, health analysis and externality valuation in a UK-style appraisal format</w:t>
      </w:r>
    </w:p>
    <w:bookmarkEnd w:id="51"/>
    <w:bookmarkStart w:id="63" w:name="b1.-purpose-and-structure"/>
    <w:p>
      <w:pPr>
        <w:pStyle w:val="Heading1"/>
      </w:pPr>
      <w:r>
        <w:t xml:space="preserve">B1. Purpose and Structure</w:t>
      </w:r>
    </w:p>
    <w:bookmarkStart w:id="52" w:name="purpose"/>
    <w:p>
      <w:pPr>
        <w:pStyle w:val="Heading2"/>
      </w:pPr>
      <w:r>
        <w:t xml:space="preserve">Purpose</w:t>
      </w:r>
    </w:p>
    <w:p>
      <w:pPr>
        <w:pStyle w:val="FirstParagraph"/>
      </w:pPr>
      <w:r>
        <w:t xml:space="preserve">Part A read the excise schedule by instrument: line by line, against a small typology, scaled on three measures. That approach answers the question “is this line set correctly?” — but it cannot answer the system-level question “does the tax system as a whole deal with the externalities that matter?”. Part B sets out a complementary diagnostic that does.</w:t>
      </w:r>
    </w:p>
    <w:p>
      <w:pPr>
        <w:pStyle w:val="BodyText"/>
      </w:pPr>
      <w:r>
        <w:t xml:space="preserve">A finance ministry in a developing country setting fuel and vehicle tax rates faces the following question: what should our rates be, given what we know about carbon damages, local pollution mortality, road accidents, congestion, revenue needs, distributional incidence, and international norms? The question is well-defined. The answer requires data and judgement that span at least four ministries.</w:t>
      </w:r>
    </w:p>
    <w:p>
      <w:pPr>
        <w:pStyle w:val="BodyText"/>
      </w:pPr>
      <w:r>
        <w:t xml:space="preserve">The current state of play. CPAT produces high-quality estimates of mitigation, revenue, household incidence, and macroeconomic effects of carbon-pricing and fuel-subsidy reforms across roughly two hundred countries. The Climate and Health Program produces vulnerability assessments, mortality estimates, and best-buy guidance. The IMF Getting Energy Prices Right work produces global estimates of corrective fuel-tax rates. Country transport teams produce project-level cost-benefit appraisal with their own values. Tax-policy teams produce revenue projections and tax-expenditure inventories.</w:t>
      </w:r>
    </w:p>
    <w:p>
      <w:pPr>
        <w:pStyle w:val="BodyText"/>
      </w:pPr>
      <w:r>
        <w:t xml:space="preserve">None of these is the report a finance minister can read and act on. CPAT is a model, not a report. The Climate and Health Program outputs are sector-specific. Project cost-benefit appraisal is at the wrong unit of analysis. International benchmark estimates lack the country-specific texture needed to defend a reform politically. The result is that fuel-tax decisions in most developing countries are made on revenue and political grounds, with externality reasoning, when it appears at all, brought in late and selectively.</w:t>
      </w:r>
    </w:p>
    <w:p>
      <w:pPr>
        <w:pStyle w:val="BodyText"/>
      </w:pPr>
      <w:r>
        <w:t xml:space="preserve">What a synthesis layer adds. The proposed Fuel and Vehicle Tax Diagnostic (FVTD) is a standard report — fixed structure, fixed valuation parameters, fixed comparator group — that ingests CPAT and health-team outputs as inputs and produces a single coherent assessment. It does not generate new estimates where existing tools already do. It harmonises, presents, and benchmarks. The discipline is its main contribution: a single value of statistical life, a single carbon shadow price, a single set of accident-cost parameters, applied consistently across all the sectoral inputs in a single country.</w:t>
      </w:r>
    </w:p>
    <w:bookmarkEnd w:id="52"/>
    <w:bookmarkStart w:id="57" w:name="key-questions-and-the-climatehealth-join"/>
    <w:p>
      <w:pPr>
        <w:pStyle w:val="Heading2"/>
      </w:pPr>
      <w:r>
        <w:t xml:space="preserve">Key questions and the climate–health join</w:t>
      </w:r>
    </w:p>
    <w:p>
      <w:pPr>
        <w:pStyle w:val="FirstParagraph"/>
      </w:pPr>
      <w:r>
        <w:t xml:space="preserve">Part B is where most of the diagnostic’s key questions live, because it is the part that asks the system-level question Part A cannot reach. The questions below are grouped to mirror the seven-section spine and the climate–health capacities the two World Bank programs already hold. Many are answered by harmonising existing outputs rather than by new computation — the point of the synthesis layer.</w:t>
      </w:r>
    </w:p>
    <w:bookmarkStart w:id="53" w:name="X3dde04548a13dbec9d9bf144fd01f0c32db9303"/>
    <w:p>
      <w:pPr>
        <w:pStyle w:val="Heading3"/>
      </w:pPr>
      <w:r>
        <w:t xml:space="preserve">Benchmarking: consumption, tax levels and gaps</w:t>
      </w:r>
    </w:p>
    <w:p>
      <w:pPr>
        <w:pStyle w:val="FirstParagraph"/>
      </w:pPr>
      <w:r>
        <w:rPr>
          <w:i/>
          <w:iCs/>
        </w:rPr>
        <w:t xml:space="preserve">The climate and health programs each benchmark consumption and tax levels in their own domain. The diagnostic asks whether they can be benchmarked together, on a common externality footing.</w:t>
      </w:r>
    </w:p>
    <w:p>
      <w:pPr>
        <w:numPr>
          <w:ilvl w:val="0"/>
          <w:numId w:val="1002"/>
        </w:numPr>
      </w:pPr>
      <w:r>
        <w:rPr>
          <w:b/>
          <w:bCs/>
        </w:rPr>
        <w:t xml:space="preserve">Joint tax benchmarking.</w:t>
      </w:r>
      <w:r>
        <w:t xml:space="preserve"> </w:t>
      </w:r>
      <w:r>
        <w:t xml:space="preserve">Can a single assessment benchmark how all countries tax goods with externalities — fuels, tobacco, alcohol and sugar-sweetened beverages — on one comparable basis? The climate program’s Total Carbon Price expresses how a country taxes carbon across fuel products; the health program calculates how tobacco, alcohol and SSBs are taxed.</w:t>
      </w:r>
    </w:p>
    <w:p>
      <w:pPr>
        <w:numPr>
          <w:ilvl w:val="0"/>
          <w:numId w:val="1002"/>
        </w:numPr>
      </w:pPr>
      <w:r>
        <w:rPr>
          <w:b/>
          <w:bCs/>
        </w:rPr>
        <w:t xml:space="preserve">Tax per unit of harmful content.</w:t>
      </w:r>
      <w:r>
        <w:t xml:space="preserve"> </w:t>
      </w:r>
      <w:r>
        <w:t xml:space="preserve">Just as the Total Carbon Price expresses fuel taxes per unit of carbon content, can alcohol excises be expressed per unit of pure alcohol content — revealing, as for fuels, where a country taxes different products of the same class inconsistently?</w:t>
      </w:r>
    </w:p>
    <w:p>
      <w:pPr>
        <w:numPr>
          <w:ilvl w:val="0"/>
          <w:numId w:val="1002"/>
        </w:numPr>
      </w:pPr>
      <w:r>
        <w:rPr>
          <w:b/>
          <w:bCs/>
        </w:rPr>
        <w:t xml:space="preserve">Share of price from excise.</w:t>
      </w:r>
      <w:r>
        <w:t xml:space="preserve"> </w:t>
      </w:r>
      <w:r>
        <w:t xml:space="preserve">What share of the consumer price of each taxed good comes from excise? The health program calculates this for health-related products; the climate program holds the data for fuels but does not yet report it.</w:t>
      </w:r>
    </w:p>
    <w:p>
      <w:pPr>
        <w:numPr>
          <w:ilvl w:val="0"/>
          <w:numId w:val="1002"/>
        </w:numPr>
      </w:pPr>
      <w:r>
        <w:rPr>
          <w:b/>
          <w:bCs/>
        </w:rPr>
        <w:t xml:space="preserve">Tax gaps against social cost.</w:t>
      </w:r>
      <w:r>
        <w:t xml:space="preserve"> </w:t>
      </w:r>
      <w:r>
        <w:t xml:space="preserve">How do current excises compare with the social costs of the taxed goods? The climate program compares fuel excises with fuel social costs directly. Does the health program compare current tobacco, alcohol and SSB excises with the social costs of those products, beyond citing the total cost of tobacco use?</w:t>
      </w:r>
    </w:p>
    <w:p>
      <w:pPr>
        <w:numPr>
          <w:ilvl w:val="0"/>
          <w:numId w:val="1002"/>
        </w:numPr>
      </w:pPr>
      <w:r>
        <w:rPr>
          <w:b/>
          <w:bCs/>
        </w:rPr>
        <w:t xml:space="preserve">Consumption composition.</w:t>
      </w:r>
      <w:r>
        <w:t xml:space="preserve"> </w:t>
      </w:r>
      <w:r>
        <w:t xml:space="preserve">How has consumption evolved — in aggregate and by subcategory of fuel and of alcohol — and how is it split across households today?</w:t>
      </w:r>
    </w:p>
    <w:bookmarkEnd w:id="53"/>
    <w:bookmarkStart w:id="54" w:name="disease-burden-and-affordability"/>
    <w:p>
      <w:pPr>
        <w:pStyle w:val="Heading3"/>
      </w:pPr>
      <w:r>
        <w:t xml:space="preserve">Disease burden and affordability</w:t>
      </w:r>
    </w:p>
    <w:p>
      <w:pPr>
        <w:numPr>
          <w:ilvl w:val="0"/>
          <w:numId w:val="1003"/>
        </w:numPr>
      </w:pPr>
      <w:r>
        <w:rPr>
          <w:b/>
          <w:bCs/>
        </w:rPr>
        <w:t xml:space="preserve">Baseline disease burden.</w:t>
      </w:r>
      <w:r>
        <w:t xml:space="preserve"> </w:t>
      </w:r>
      <w:r>
        <w:t xml:space="preserve">What are the baseline fatalities and DALYs attributable to the taxed goods — from air pollution linked to fuel consumption, and from tobacco and alcohol consumption — and how do they link back to the quantities the tax system can move?</w:t>
      </w:r>
    </w:p>
    <w:p>
      <w:pPr>
        <w:numPr>
          <w:ilvl w:val="0"/>
          <w:numId w:val="1003"/>
        </w:numPr>
      </w:pPr>
      <w:r>
        <w:rPr>
          <w:b/>
          <w:bCs/>
        </w:rPr>
        <w:t xml:space="preserve">Affordability over time.</w:t>
      </w:r>
      <w:r>
        <w:t xml:space="preserve"> </w:t>
      </w:r>
      <w:r>
        <w:t xml:space="preserve">How has the excise-inclusive price of each taxed good moved relative to CPI inflation and to household incomes? The health program tracks this for health products; the climate program holds but does not report the equivalent for fuels.</w:t>
      </w:r>
    </w:p>
    <w:bookmarkEnd w:id="54"/>
    <w:bookmarkStart w:id="55" w:name="X3a127a968006f06b53b0c17876a938e93e2b27d"/>
    <w:p>
      <w:pPr>
        <w:pStyle w:val="Heading3"/>
      </w:pPr>
      <w:r>
        <w:t xml:space="preserve">Reform analysis: revenue, prices, use, disease and equity</w:t>
      </w:r>
    </w:p>
    <w:p>
      <w:pPr>
        <w:pStyle w:val="FirstParagraph"/>
      </w:pPr>
      <w:r>
        <w:rPr>
          <w:i/>
          <w:iCs/>
        </w:rPr>
        <w:t xml:space="preserve">Both programs already quantify the first-order effects of tax reform. The diagnostic’s reform questions ask them in one place and on one valuation spine.</w:t>
      </w:r>
    </w:p>
    <w:p>
      <w:pPr>
        <w:numPr>
          <w:ilvl w:val="0"/>
          <w:numId w:val="1004"/>
        </w:numPr>
      </w:pPr>
      <w:r>
        <w:rPr>
          <w:b/>
          <w:bCs/>
        </w:rPr>
        <w:t xml:space="preserve">Revenue.</w:t>
      </w:r>
      <w:r>
        <w:t xml:space="preserve"> </w:t>
      </w:r>
      <w:r>
        <w:t xml:space="preserve">How much revenue would a given reform raise? Both programs quantify this in their domains.</w:t>
      </w:r>
    </w:p>
    <w:p>
      <w:pPr>
        <w:numPr>
          <w:ilvl w:val="0"/>
          <w:numId w:val="1004"/>
        </w:numPr>
      </w:pPr>
      <w:r>
        <w:rPr>
          <w:b/>
          <w:bCs/>
        </w:rPr>
        <w:t xml:space="preserve">Prices.</w:t>
      </w:r>
      <w:r>
        <w:t xml:space="preserve"> </w:t>
      </w:r>
      <w:r>
        <w:t xml:space="preserve">How would the reform change product prices? Both programs quantify pass-through.</w:t>
      </w:r>
    </w:p>
    <w:p>
      <w:pPr>
        <w:numPr>
          <w:ilvl w:val="0"/>
          <w:numId w:val="1004"/>
        </w:numPr>
      </w:pPr>
      <w:r>
        <w:rPr>
          <w:b/>
          <w:bCs/>
        </w:rPr>
        <w:t xml:space="preserve">Product use.</w:t>
      </w:r>
      <w:r>
        <w:t xml:space="preserve"> </w:t>
      </w:r>
      <w:r>
        <w:t xml:space="preserve">By how much would the reform reduce consumption — of fuels (climate program) and of health-related products (health program)?</w:t>
      </w:r>
    </w:p>
    <w:p>
      <w:pPr>
        <w:numPr>
          <w:ilvl w:val="0"/>
          <w:numId w:val="1004"/>
        </w:numPr>
      </w:pPr>
      <w:r>
        <w:rPr>
          <w:b/>
          <w:bCs/>
        </w:rPr>
        <w:t xml:space="preserve">Disease averted.</w:t>
      </w:r>
      <w:r>
        <w:t xml:space="preserve"> </w:t>
      </w:r>
      <w:r>
        <w:t xml:space="preserve">How many fatalities and DALYs would the reform avert, and what health-care costs would it avoid? The climate program estimates this for air pollution; the health program for tobacco and alcohol.</w:t>
      </w:r>
    </w:p>
    <w:p>
      <w:pPr>
        <w:numPr>
          <w:ilvl w:val="0"/>
          <w:numId w:val="1004"/>
        </w:numPr>
      </w:pPr>
      <w:r>
        <w:rPr>
          <w:b/>
          <w:bCs/>
        </w:rPr>
        <w:t xml:space="preserve">Equity.</w:t>
      </w:r>
      <w:r>
        <w:t xml:space="preserve"> </w:t>
      </w:r>
      <w:r>
        <w:t xml:space="preserve">How are the welfare effects distributed across income groups, and how does revenue recycling change the picture? The climate program quantifies fuel-price incidence for some 125 countries using household surveys and input-output tables; tobacco incidence is simulated country-by-country (e.g. with the TOBACTAX tool). Can the household surveys already used in CPAT be reopened to simulate the equity effects of health taxes — feasible for tobacco and alcohol, though SSBs may not be separable in survey data?</w:t>
      </w:r>
    </w:p>
    <w:p>
      <w:pPr>
        <w:numPr>
          <w:ilvl w:val="0"/>
          <w:numId w:val="1004"/>
        </w:numPr>
      </w:pPr>
      <w:r>
        <w:rPr>
          <w:b/>
          <w:bCs/>
        </w:rPr>
        <w:t xml:space="preserve">Macroeconomic effects.</w:t>
      </w:r>
      <w:r>
        <w:t xml:space="preserve"> </w:t>
      </w:r>
      <w:r>
        <w:t xml:space="preserve">What are the output and employment effects of health-related taxes? The health program does not yet estimate these, but the revenue figures it produces would support a fiscal-multiplier analysis of the kind the climate program runs.</w:t>
      </w:r>
    </w:p>
    <w:p>
      <w:pPr>
        <w:numPr>
          <w:ilvl w:val="0"/>
          <w:numId w:val="1004"/>
        </w:numPr>
      </w:pPr>
      <w:r>
        <w:rPr>
          <w:b/>
          <w:bCs/>
        </w:rPr>
        <w:t xml:space="preserve">Informality and illicit trade.</w:t>
      </w:r>
      <w:r>
        <w:t xml:space="preserve"> </w:t>
      </w:r>
      <w:r>
        <w:t xml:space="preserve">How vulnerable is each tax to evasion relative to conventional taxes? The climate program argues fuel taxes are harder to evade than income tax or VAT; the health program treats illicit trade as a risk for health taxes. Both cases are strengthened by comparing that vulnerability with the vulnerability of the taxes the excise would substitute for.</w:t>
      </w:r>
    </w:p>
    <w:bookmarkEnd w:id="55"/>
    <w:bookmarkStart w:id="56" w:name="design-specific-versus-ad-valorem"/>
    <w:p>
      <w:pPr>
        <w:pStyle w:val="Heading3"/>
      </w:pPr>
      <w:r>
        <w:t xml:space="preserve">Design: specific versus ad valorem</w:t>
      </w:r>
    </w:p>
    <w:p>
      <w:pPr>
        <w:numPr>
          <w:ilvl w:val="0"/>
          <w:numId w:val="1005"/>
        </w:numPr>
      </w:pPr>
      <w:r>
        <w:rPr>
          <w:b/>
          <w:bCs/>
        </w:rPr>
        <w:t xml:space="preserve">Rate structure.</w:t>
      </w:r>
      <w:r>
        <w:t xml:space="preserve"> </w:t>
      </w:r>
      <w:r>
        <w:t xml:space="preserve">Should the externality-correcting component be levied as a specific rate rather than ad valorem? Both programs advise specific rates for externalities.</w:t>
      </w:r>
    </w:p>
    <w:p>
      <w:pPr>
        <w:numPr>
          <w:ilvl w:val="0"/>
          <w:numId w:val="1005"/>
        </w:numPr>
      </w:pPr>
      <w:r>
        <w:rPr>
          <w:b/>
          <w:bCs/>
        </w:rPr>
        <w:t xml:space="preserve">Indexation.</w:t>
      </w:r>
      <w:r>
        <w:t xml:space="preserve"> </w:t>
      </w:r>
      <w:r>
        <w:t xml:space="preserve">How should specific rates be indexed so that real value is not eroded between Finance Acts? Both programs recommend inflation updating — the structural fix Part A surfaces from the erosion-and-restoration cycle.</w:t>
      </w:r>
    </w:p>
    <w:bookmarkEnd w:id="56"/>
    <w:bookmarkEnd w:id="57"/>
    <w:bookmarkStart w:id="61" w:name="proposed-report-structure"/>
    <w:p>
      <w:pPr>
        <w:pStyle w:val="Heading2"/>
      </w:pPr>
      <w:r>
        <w:t xml:space="preserve">Proposed report structure</w:t>
      </w:r>
    </w:p>
    <w:p>
      <w:pPr>
        <w:pStyle w:val="FirstParagraph"/>
      </w:pPr>
      <w:r>
        <w:t xml:space="preserve">We propose a fixed report structure with seven sections. It is the same in both tiers; the difference is depth and data requirements, not architecture. The discipline of fixed structure matters: it allows a country team to produce the report without negotiating its scope each time, allows comparison across countries, and allows incremental improvement of any single section without disturbing the rest.</w:t>
      </w:r>
    </w:p>
    <w:bookmarkStart w:id="58" w:name="section"/>
    <w:p>
      <w:pPr>
        <w:pStyle w:val="Heading3"/>
      </w:pPr>
    </w:p>
    <w:tbl>
      <w:tblPr>
        <w:tblStyle w:val="Table"/>
        <w:tblW w:type="pct" w:w="4954"/>
        <w:tblLayout w:type="fixed"/>
        <w:tblLook w:firstRow="1" w:lastRow="0" w:firstColumn="0" w:lastColumn="0" w:noHBand="0" w:noVBand="0" w:val="0020"/>
      </w:tblPr>
      <w:tblGrid>
        <w:gridCol w:w="508"/>
        <w:gridCol w:w="1162"/>
        <w:gridCol w:w="6176"/>
      </w:tblGrid>
      <w:tr>
        <w:trPr>
          <w:tblHeader w:val="on"/>
        </w:trPr>
        <w:tc>
          <w:tcPr/>
          <w:p>
            <w:pPr>
              <w:pStyle w:val="Compact"/>
              <w:jc w:val="left"/>
            </w:pPr>
            <w:r>
              <w:rPr>
                <w:b/>
                <w:bCs/>
              </w:rPr>
              <w:t xml:space="preserve">Section</w:t>
            </w:r>
          </w:p>
        </w:tc>
        <w:tc>
          <w:tcPr/>
          <w:p>
            <w:pPr>
              <w:pStyle w:val="Compact"/>
              <w:jc w:val="left"/>
            </w:pPr>
            <w:r>
              <w:rPr>
                <w:b/>
                <w:bCs/>
              </w:rPr>
              <w:t xml:space="preserve">Title</w:t>
            </w:r>
          </w:p>
        </w:tc>
        <w:tc>
          <w:tcPr/>
          <w:p>
            <w:pPr>
              <w:pStyle w:val="Compact"/>
              <w:jc w:val="left"/>
            </w:pPr>
            <w:r>
              <w:rPr>
                <w:b/>
                <w:bCs/>
              </w:rPr>
              <w:t xml:space="preserve">Purpose</w:t>
            </w:r>
          </w:p>
        </w:tc>
      </w:tr>
      <w:tr>
        <w:tc>
          <w:tcPr/>
          <w:p>
            <w:pPr>
              <w:pStyle w:val="Compact"/>
              <w:jc w:val="left"/>
            </w:pPr>
            <w:r>
              <w:rPr>
                <w:b/>
                <w:bCs/>
              </w:rPr>
              <w:t xml:space="preserve">1</w:t>
            </w:r>
          </w:p>
        </w:tc>
        <w:tc>
          <w:tcPr/>
          <w:p>
            <w:pPr>
              <w:pStyle w:val="Compact"/>
              <w:jc w:val="left"/>
            </w:pPr>
            <w:r>
              <w:t xml:space="preserve">Tax baseline and revenue</w:t>
            </w:r>
          </w:p>
        </w:tc>
        <w:tc>
          <w:tcPr/>
          <w:p>
            <w:pPr>
              <w:pStyle w:val="Compact"/>
              <w:jc w:val="left"/>
            </w:pPr>
            <w:r>
              <w:t xml:space="preserve">What rates apply now, what they yield, who pays. Explicit and implicit subsidies. Effective per-litre and per-tCO2 rates after VAT and cascading.</w:t>
            </w:r>
          </w:p>
        </w:tc>
      </w:tr>
      <w:tr>
        <w:tc>
          <w:tcPr/>
          <w:p>
            <w:pPr>
              <w:pStyle w:val="Compact"/>
              <w:jc w:val="left"/>
            </w:pPr>
            <w:r>
              <w:rPr>
                <w:b/>
                <w:bCs/>
              </w:rPr>
              <w:t xml:space="preserve">2</w:t>
            </w:r>
          </w:p>
        </w:tc>
        <w:tc>
          <w:tcPr/>
          <w:p>
            <w:pPr>
              <w:pStyle w:val="Compact"/>
              <w:jc w:val="left"/>
            </w:pPr>
            <w:r>
              <w:t xml:space="preserve">Externality estimates</w:t>
            </w:r>
          </w:p>
        </w:tc>
        <w:tc>
          <w:tcPr/>
          <w:p>
            <w:pPr>
              <w:pStyle w:val="Compact"/>
              <w:jc w:val="left"/>
            </w:pPr>
            <w:r>
              <w:t xml:space="preserve">Carbon, local air pollution, accidents, congestion, road damage. Per litre and per vkm where relevant. Drawn from CPAT, health-team outputs, IMF GEPR, country sources.</w:t>
            </w:r>
          </w:p>
        </w:tc>
      </w:tr>
      <w:tr>
        <w:tc>
          <w:tcPr/>
          <w:p>
            <w:pPr>
              <w:pStyle w:val="Compact"/>
              <w:jc w:val="left"/>
            </w:pPr>
            <w:r>
              <w:rPr>
                <w:b/>
                <w:bCs/>
              </w:rPr>
              <w:t xml:space="preserve">3</w:t>
            </w:r>
          </w:p>
        </w:tc>
        <w:tc>
          <w:tcPr/>
          <w:p>
            <w:pPr>
              <w:pStyle w:val="Compact"/>
              <w:jc w:val="left"/>
            </w:pPr>
            <w:r>
              <w:t xml:space="preserve">Optimal corrective rate</w:t>
            </w:r>
          </w:p>
        </w:tc>
        <w:tc>
          <w:tcPr/>
          <w:p>
            <w:pPr>
              <w:pStyle w:val="Compact"/>
              <w:jc w:val="left"/>
            </w:pPr>
            <w:r>
              <w:t xml:space="preserve">Naive Pigouvian sum and second-best rate adjusted for mileage versus fuel-economy elasticity decomposition. Sensitivity ranges across SCC, VSL and elasticities.</w:t>
            </w:r>
          </w:p>
        </w:tc>
      </w:tr>
      <w:tr>
        <w:tc>
          <w:tcPr/>
          <w:p>
            <w:pPr>
              <w:pStyle w:val="Compact"/>
              <w:jc w:val="left"/>
            </w:pPr>
            <w:r>
              <w:rPr>
                <w:b/>
                <w:bCs/>
              </w:rPr>
              <w:t xml:space="preserve">4</w:t>
            </w:r>
          </w:p>
        </w:tc>
        <w:tc>
          <w:tcPr/>
          <w:p>
            <w:pPr>
              <w:pStyle w:val="Compact"/>
              <w:jc w:val="left"/>
            </w:pPr>
            <w:r>
              <w:t xml:space="preserve">Gap analysis</w:t>
            </w:r>
          </w:p>
        </w:tc>
        <w:tc>
          <w:tcPr/>
          <w:p>
            <w:pPr>
              <w:pStyle w:val="Compact"/>
              <w:jc w:val="left"/>
            </w:pPr>
            <w:r>
              <w:t xml:space="preserve">Current versus optimal, by fuel. Decomposition of the gap by externality category. Which gaps are best closed by fuel tax versus dedicated instruments.</w:t>
            </w:r>
          </w:p>
        </w:tc>
      </w:tr>
      <w:tr>
        <w:tc>
          <w:tcPr/>
          <w:p>
            <w:pPr>
              <w:pStyle w:val="Compact"/>
              <w:jc w:val="left"/>
            </w:pPr>
            <w:r>
              <w:rPr>
                <w:b/>
                <w:bCs/>
              </w:rPr>
              <w:t xml:space="preserve">5</w:t>
            </w:r>
          </w:p>
        </w:tc>
        <w:tc>
          <w:tcPr/>
          <w:p>
            <w:pPr>
              <w:pStyle w:val="Compact"/>
              <w:jc w:val="left"/>
            </w:pPr>
            <w:r>
              <w:t xml:space="preserve">Distributional incidence</w:t>
            </w:r>
          </w:p>
        </w:tc>
        <w:tc>
          <w:tcPr/>
          <w:p>
            <w:pPr>
              <w:pStyle w:val="Compact"/>
              <w:jc w:val="left"/>
            </w:pPr>
            <w:r>
              <w:t xml:space="preserve">Welfare effects across deciles, urban versus rural, formal versus informal transport. Drawn directly from CPAT incidence module where available.</w:t>
            </w:r>
          </w:p>
        </w:tc>
      </w:tr>
      <w:tr>
        <w:tc>
          <w:tcPr/>
          <w:p>
            <w:pPr>
              <w:pStyle w:val="Compact"/>
              <w:jc w:val="left"/>
            </w:pPr>
            <w:r>
              <w:rPr>
                <w:b/>
                <w:bCs/>
              </w:rPr>
              <w:t xml:space="preserve">6</w:t>
            </w:r>
          </w:p>
        </w:tc>
        <w:tc>
          <w:tcPr/>
          <w:p>
            <w:pPr>
              <w:pStyle w:val="Compact"/>
              <w:jc w:val="left"/>
            </w:pPr>
            <w:r>
              <w:t xml:space="preserve">International norm comparator</w:t>
            </w:r>
          </w:p>
        </w:tc>
        <w:tc>
          <w:tcPr/>
          <w:p>
            <w:pPr>
              <w:pStyle w:val="Compact"/>
              <w:jc w:val="left"/>
            </w:pPr>
            <w:r>
              <w:t xml:space="preserve">Statutory rates versus regional and OECD benchmarks. Effective carbon rate versus TECP comparator group. CBAM and border-adjustment exposure.</w:t>
            </w:r>
          </w:p>
        </w:tc>
      </w:tr>
      <w:tr>
        <w:tc>
          <w:tcPr/>
          <w:p>
            <w:pPr>
              <w:pStyle w:val="Compact"/>
              <w:jc w:val="left"/>
            </w:pPr>
            <w:r>
              <w:rPr>
                <w:b/>
                <w:bCs/>
              </w:rPr>
              <w:t xml:space="preserve">7</w:t>
            </w:r>
          </w:p>
        </w:tc>
        <w:tc>
          <w:tcPr/>
          <w:p>
            <w:pPr>
              <w:pStyle w:val="Compact"/>
              <w:jc w:val="left"/>
            </w:pPr>
            <w:r>
              <w:t xml:space="preserve">Reform pathway</w:t>
            </w:r>
          </w:p>
        </w:tc>
        <w:tc>
          <w:tcPr/>
          <w:p>
            <w:pPr>
              <w:pStyle w:val="Compact"/>
              <w:jc w:val="left"/>
            </w:pPr>
            <w:r>
              <w:t xml:space="preserve">Sequenced instrument package, revenue projection, recycling options, compensation design, implementation calendar. Practical, not theoretical.</w:t>
            </w:r>
          </w:p>
        </w:tc>
      </w:tr>
    </w:tbl>
    <w:p>
      <w:pPr>
        <w:pStyle w:val="BodyText"/>
      </w:pPr>
      <w:r>
        <w:rPr>
          <w:b/>
          <w:bCs/>
        </w:rPr>
        <w:t xml:space="preserve">Sub-question added to Section 2.</w:t>
      </w:r>
      <w:r>
        <w:t xml:space="preserve"> </w:t>
      </w:r>
      <w:r>
        <w:t xml:space="preserve">Building on the original FVTD design, Part B as deployed here adds a ranking sub-question to Section 2: what is the biggest externality not currently priced by the tax system? The ranking is read off the Section 2 component table — the largest gap between estimated externality and current effective rate, by fuel — and used to prioritise the Section 7 reform pathway. The sub-question is what makes Part B feed cleanly into Part C.</w:t>
      </w:r>
    </w:p>
    <w:bookmarkEnd w:id="58"/>
    <w:bookmarkStart w:id="59" w:name="tier-1-capable-lmics-and-umics"/>
    <w:p>
      <w:pPr>
        <w:pStyle w:val="Heading3"/>
      </w:pPr>
      <w:r>
        <w:t xml:space="preserve">Tier 1 (capable LMICs and UMICs)</w:t>
      </w:r>
    </w:p>
    <w:p>
      <w:pPr>
        <w:pStyle w:val="FirstParagraph"/>
      </w:pPr>
      <w:r>
        <w:t xml:space="preserve">Tier 1 uses country-specific data where available. Country VSL is computed by income-elasticity transfer from an OECD baseline rather than borrowed wholesale. Country-specific elasticities are used where credible estimates exist; pooled regional estimates are used otherwise, with sensitivity ranges. Active-travel health benefits are quantified using the WHO HEAT methodology. Distinct urban and rural externality profiles are presented separately. Vehicle-stock vintage modelling is included in Section 7 to address Gruenspecht effects on purchase taxes.</w:t>
      </w:r>
    </w:p>
    <w:p>
      <w:pPr>
        <w:pStyle w:val="BodyText"/>
      </w:pPr>
      <w:r>
        <w:t xml:space="preserve">Candidate countries: Chile, Colombia, South Africa, Mexico, Brazil, Turkey, Indonesia, Philippines, Thailand. Egypt and Vietnam are borderline.</w:t>
      </w:r>
    </w:p>
    <w:bookmarkEnd w:id="59"/>
    <w:bookmarkStart w:id="60" w:name="tier-2-lics-and-weak-data-lmics"/>
    <w:p>
      <w:pPr>
        <w:pStyle w:val="Heading3"/>
      </w:pPr>
      <w:r>
        <w:t xml:space="preserve">Tier 2 (LICs and weak-data LMICs)</w:t>
      </w:r>
    </w:p>
    <w:p>
      <w:pPr>
        <w:pStyle w:val="FirstParagraph"/>
      </w:pPr>
      <w:r>
        <w:t xml:space="preserve">Tier 2 uses the same seven-section spine but with simplified methods. Benefit-transferred VSL is used with explicit caveats. Pooled regional elasticities are used throughout. Externalities are estimated via population-weighted exposure times emission factor times concentration-response, without dispersion modelling. Congestion is computed only for the primary city and assumed negligible elsewhere. Active-travel benefits are noted qualitatively only. The second-best optimisation is dropped; a naive Pigouvian rate with a sensitivity corridor is reported instead.</w:t>
      </w:r>
    </w:p>
    <w:p>
      <w:pPr>
        <w:pStyle w:val="BodyText"/>
      </w:pPr>
      <w:r>
        <w:t xml:space="preserve">The deliverable is direction and magnitude rather than a precise optimal rate. “Diesel is undertaxed by approximately X to Y dollars per litre” is more useful than a false-precision point estimate.</w:t>
      </w:r>
    </w:p>
    <w:p>
      <w:pPr>
        <w:pStyle w:val="BodyText"/>
      </w:pPr>
      <w:r>
        <w:t xml:space="preserve">Candidate countries: most of the IDA caseload — Uganda, Tanzania, Rwanda, Ethiopia, Mozambique, Ghana, Senegal, Kenya at the upper end. Pakistan and Bangladesh fit Tier 2 despite being LMICs.</w:t>
      </w:r>
    </w:p>
    <w:bookmarkEnd w:id="60"/>
    <w:bookmarkEnd w:id="61"/>
    <w:bookmarkStart w:id="62" w:name="what-the-join-does-and-does-not-require"/>
    <w:p>
      <w:pPr>
        <w:pStyle w:val="Heading2"/>
      </w:pPr>
      <w:r>
        <w:t xml:space="preserve">What the join does and does not require</w:t>
      </w:r>
    </w:p>
    <w:p>
      <w:pPr>
        <w:pStyle w:val="FirstParagraph"/>
      </w:pPr>
      <w:r>
        <w:t xml:space="preserve">Two scoping points keep the joint offering tractable. First, the equity apparatus need not be fully unified. CPAT models the indirect consumption of fuels used as inputs to other goods, which is why it harmonises household surveys with input-output tables. Health taxes need no such treatment: alcohol, tobacco and SSBs are consumed directly, not used as inputs to producing other goods, and health excises are levied downstream on end products. So the household-survey apparatus can be reused for health-tax incidence without reconciling it against input-output tables.</w:t>
      </w:r>
    </w:p>
    <w:p>
      <w:pPr>
        <w:pStyle w:val="BodyText"/>
      </w:pPr>
      <w:r>
        <w:t xml:space="preserve">Second, the join is also an opportunity to consolidate tooling. A shared inventory of the analytical tools held by both teams could be surfaced on the excise-tax section of the relevant website, and the diagnostic’s outputs could feed a joint visualisation — a Power BI dashboard or a PFR visualisation-tool input — so that country teams reach one place for both climate and health excise analysis.</w:t>
      </w:r>
    </w:p>
    <w:p>
      <w:pPr>
        <w:pStyle w:val="BodyText"/>
      </w:pPr>
      <w:r>
        <w:rPr>
          <w:b/>
          <w:bCs/>
        </w:rPr>
        <w:t xml:space="preserve">Open implementation questions.</w:t>
      </w:r>
      <w:r>
        <w:t xml:space="preserve"> </w:t>
      </w:r>
      <w:r>
        <w:t xml:space="preserve">Three items remain to be settled as the joint offering is built:</w:t>
      </w:r>
    </w:p>
    <w:p>
      <w:pPr>
        <w:numPr>
          <w:ilvl w:val="0"/>
          <w:numId w:val="1006"/>
        </w:numPr>
      </w:pPr>
      <w:r>
        <w:t xml:space="preserve">Identify the full list of analytical tools held by both the climate and health teams and surface them on the excise-tax section of the website.</w:t>
      </w:r>
    </w:p>
    <w:p>
      <w:pPr>
        <w:numPr>
          <w:ilvl w:val="0"/>
          <w:numId w:val="1006"/>
        </w:numPr>
      </w:pPr>
      <w:r>
        <w:t xml:space="preserve">Decide whether a joint Power BI website is feasible, or whether the outputs are better delivered as an input to the PFR visualisation tool.</w:t>
      </w:r>
    </w:p>
    <w:p>
      <w:pPr>
        <w:numPr>
          <w:ilvl w:val="0"/>
          <w:numId w:val="1006"/>
        </w:numPr>
      </w:pPr>
      <w:r>
        <w:t xml:space="preserve">Confirm which household surveys can be reopened for health-tax equity analysis, and for which products the incidence is separately identifiable.</w:t>
      </w:r>
    </w:p>
    <w:bookmarkEnd w:id="62"/>
    <w:bookmarkEnd w:id="63"/>
    <w:bookmarkStart w:id="68" w:name="b2.-existing-international-work"/>
    <w:p>
      <w:pPr>
        <w:pStyle w:val="Heading1"/>
      </w:pPr>
      <w:r>
        <w:t xml:space="preserve">B2. Existing international work</w:t>
      </w:r>
    </w:p>
    <w:p>
      <w:pPr>
        <w:pStyle w:val="FirstParagraph"/>
      </w:pPr>
      <w:r>
        <w:t xml:space="preserve">Four bodies of international work form the analytical foundation.</w:t>
      </w:r>
    </w:p>
    <w:bookmarkStart w:id="64" w:name="X401e6597652372a352db85c1d375c9fe4438913"/>
    <w:p>
      <w:pPr>
        <w:pStyle w:val="Heading3"/>
      </w:pPr>
      <w:r>
        <w:t xml:space="preserve">B2.1 The IMF Getting Energy Prices Right framework</w:t>
      </w:r>
    </w:p>
    <w:p>
      <w:pPr>
        <w:pStyle w:val="FirstParagraph"/>
      </w:pPr>
      <w:r>
        <w:t xml:space="preserve">Parry, Heine, Li and Lis (2014) developed the most influential cross-country framework for assessing externality-corrective fuel taxes. Its operational form is the corrective fuel tax equals carbon damages plus local air pollution damages plus congestion plus accidents plus road damage, with each term measured per litre of fuel and adjusted for the share of behavioural response on the mileage versus fuel-economy margin. The IMF publishes country estimates regularly, most recently in the Black-Parry-Vernon-Zhunussova fossil-fuel subsidy updates. The framework is the single most useful global benchmark.</w:t>
      </w:r>
    </w:p>
    <w:p>
      <w:pPr>
        <w:pStyle w:val="BodyText"/>
      </w:pPr>
      <w:r>
        <w:t xml:space="preserve">Strengths: full country coverage, transparent methodology, regular updates, integrated with the IMF implicit-subsidy concept. Weaknesses: necessarily uses pooled or extrapolated parameters in countries with thin local data; the headline corrective-tax number masks substantial uncertainty; not designed as a country-engagement document but as a global comparative exercise.</w:t>
      </w:r>
    </w:p>
    <w:bookmarkEnd w:id="64"/>
    <w:bookmarkStart w:id="65" w:name="X6ca73705795a85f9646fa0be358d64aaefcadef"/>
    <w:p>
      <w:pPr>
        <w:pStyle w:val="Heading3"/>
      </w:pPr>
      <w:r>
        <w:t xml:space="preserve">B2.2 The CE Delft Handbook on External Costs of Transport</w:t>
      </w:r>
    </w:p>
    <w:p>
      <w:pPr>
        <w:pStyle w:val="FirstParagraph"/>
      </w:pPr>
      <w:r>
        <w:t xml:space="preserve">The European Commission Handbook on External Costs of Transport, originally produced in 2008 by CE Delft and updated in 2019, is the most detailed methodological reference in existence. It covers all transport modes; provides recommended values for VSL, accidents, air pollution, climate, noise, congestion and infrastructure costs; and gives explicit guidance on value-transfer to non-EU contexts. EU member states reference it in national appraisal frameworks.</w:t>
      </w:r>
    </w:p>
    <w:p>
      <w:pPr>
        <w:pStyle w:val="BodyText"/>
      </w:pPr>
      <w:r>
        <w:t xml:space="preserve">Strengths: rigour, comprehensiveness, regular updates, official endorsement. Weaknesses: calibrated for European conditions; the value-transfer guidance to LICs is light; not aimed at fuel-tax assessment specifically.</w:t>
      </w:r>
    </w:p>
    <w:bookmarkEnd w:id="65"/>
    <w:bookmarkStart w:id="66" w:name="Xa5bc33e8cb9fd42bad2b833b67bcb2a13548951"/>
    <w:p>
      <w:pPr>
        <w:pStyle w:val="Heading3"/>
      </w:pPr>
      <w:r>
        <w:t xml:space="preserve">B2.3 OECD Effective Carbon Rates and Taxing Energy Use</w:t>
      </w:r>
    </w:p>
    <w:p>
      <w:pPr>
        <w:pStyle w:val="FirstParagraph"/>
      </w:pPr>
      <w:r>
        <w:t xml:space="preserve">The OECD Taxing Energy Use series and the Effective Carbon Rate metric provide standardised cross-country measurement of explicit and implicit carbon prices on fuels. The methodology is transparent and the series is regularly updated. The OECD Carbon Pricing Score is a normative yardstick benchmarking countries against an EUR 60 per tonne reference.</w:t>
      </w:r>
    </w:p>
    <w:p>
      <w:pPr>
        <w:pStyle w:val="BodyText"/>
      </w:pPr>
      <w:r>
        <w:t xml:space="preserve">Strengths: comparable carbon-rate measurement across about eighty countries, transparent methodology. Weaknesses: scope is limited to the carbon dimension; does not cover the other externalities.</w:t>
      </w:r>
    </w:p>
    <w:bookmarkEnd w:id="66"/>
    <w:bookmarkStart w:id="67" w:name="Xa9e86a457e1feb0583bc10b26abca29af2e0a77"/>
    <w:p>
      <w:pPr>
        <w:pStyle w:val="Heading3"/>
      </w:pPr>
      <w:r>
        <w:t xml:space="preserve">B2.4 Parry-Strand and the country-application templates</w:t>
      </w:r>
    </w:p>
    <w:p>
      <w:pPr>
        <w:pStyle w:val="FirstParagraph"/>
      </w:pPr>
      <w:r>
        <w:t xml:space="preserve">Parry and Strand (2012) applied the IMF framework explicitly as a transferable template, with Chile as the worked example. The same template was applied by Anton-Sarabia and Hernandez-Trillo to Mexico and by Heine and colleagues to Brazil. The Bijgaart, Klenert and Mattauch extension adds active-travel health benefits, increasing optimal fuel taxes by 38 to 44 per cent in UK and US applications.</w:t>
      </w:r>
    </w:p>
    <w:p>
      <w:pPr>
        <w:pStyle w:val="BodyText"/>
      </w:pPr>
      <w:r>
        <w:t xml:space="preserve">These applications are the closest published analogues to what the FVTD would produce. They are academic studies, not institutional products, but they demonstrate that the methodology can be applied to country conditions with reasonable data.</w:t>
      </w:r>
    </w:p>
    <w:bookmarkEnd w:id="67"/>
    <w:bookmarkEnd w:id="68"/>
    <w:bookmarkStart w:id="76" w:name="b3.-existing-national-work"/>
    <w:p>
      <w:pPr>
        <w:pStyle w:val="Heading1"/>
      </w:pPr>
      <w:r>
        <w:t xml:space="preserve">B3. Existing national work</w:t>
      </w:r>
    </w:p>
    <w:p>
      <w:pPr>
        <w:pStyle w:val="FirstParagraph"/>
      </w:pPr>
      <w:r>
        <w:t xml:space="preserve">National practice is more uneven than international practice. The UK is the most institutionalised case for valuation discipline. Other countries do parts of the work but rarely the whole.</w:t>
      </w:r>
    </w:p>
    <w:bookmarkStart w:id="69" w:name="b3.1-the-united-kingdom"/>
    <w:p>
      <w:pPr>
        <w:pStyle w:val="Heading3"/>
      </w:pPr>
      <w:r>
        <w:t xml:space="preserve">B3.1 The United Kingdom</w:t>
      </w:r>
    </w:p>
    <w:p>
      <w:pPr>
        <w:pStyle w:val="FirstParagraph"/>
      </w:pPr>
      <w:r>
        <w:t xml:space="preserve">The UK is the cleanest example of standardised valuation parameters. The Treasury Green Book sets the framework for cost-benefit analysis across government. The Department for Transport TAG (Transport Analysis Guidance, formerly WebTAG) provides values for VSL via willingness-to-pay surveys, time savings, accident costs by casualty type, and noise. The Department for Environment, Food and Rural Affairs publishes damage-cost estimates per tonne for PM2.5, NOx, SO2 and ammonia. The Department for Energy Security and Net Zero publishes a carbon-values trajectory used in all government appraisal.</w:t>
      </w:r>
    </w:p>
    <w:p>
      <w:pPr>
        <w:pStyle w:val="BodyText"/>
      </w:pPr>
      <w:r>
        <w:t xml:space="preserve">These are updated annually or near-annually. They are mandatory for regulatory impact assessment. The result is a rare situation in which a transport modeller, an air-pollution analyst, and a climate analyst working on the same project use the same VSL and the same carbon price by default.</w:t>
      </w:r>
    </w:p>
    <w:p>
      <w:pPr>
        <w:pStyle w:val="BodyText"/>
      </w:pPr>
      <w:r>
        <w:t xml:space="preserve">The UK does not produce a recurring fuel-tax diagnostic of the kind we propose. Fuel duty rates are set in the Budget on revenue and political grounds. But the valuation discipline is exemplary and is what we propose to borrow.</w:t>
      </w:r>
    </w:p>
    <w:bookmarkEnd w:id="69"/>
    <w:bookmarkStart w:id="70" w:name="b3.2-chile"/>
    <w:p>
      <w:pPr>
        <w:pStyle w:val="Heading3"/>
      </w:pPr>
      <w:r>
        <w:t xml:space="preserve">B3.2 Chile</w:t>
      </w:r>
    </w:p>
    <w:p>
      <w:pPr>
        <w:pStyle w:val="FirstParagraph"/>
      </w:pPr>
      <w:r>
        <w:t xml:space="preserve">Chile has the strongest LMIC analytical foundation. The Parry-Strand application produced a full externality-corrective tax assessment. Chile introduced a carbon component on stationary sources in 2014 and has continued to develop environmental tax architecture. The Ministry of Environment maintains air-pollution exposure data of reasonable quality. There is no recurring institutional diagnostic, but most of the underlying analytical infrastructure is in place.</w:t>
      </w:r>
    </w:p>
    <w:bookmarkEnd w:id="70"/>
    <w:bookmarkStart w:id="71" w:name="b3.3-colombia"/>
    <w:p>
      <w:pPr>
        <w:pStyle w:val="Heading3"/>
      </w:pPr>
      <w:r>
        <w:t xml:space="preserve">B3.3 Colombia</w:t>
      </w:r>
    </w:p>
    <w:p>
      <w:pPr>
        <w:pStyle w:val="FirstParagraph"/>
      </w:pPr>
      <w:r>
        <w:t xml:space="preserve">Colombia has done strong work in the component pieces but has not integrated them. DNP and the Ministry of Environment have produced PM2.5 mortality valuations — the 2018 estimate placed annual mortality cost at about 1.2 per cent of GDP. Colombia has had a national carbon tax since 2017 and has a carbon-credit offset mechanism. Bogota emissions inventories are technically strong. What is missing is the synthesis layer joining tax design to externality valuation.</w:t>
      </w:r>
    </w:p>
    <w:bookmarkEnd w:id="71"/>
    <w:bookmarkStart w:id="72" w:name="b3.4-brazil-and-mexico"/>
    <w:p>
      <w:pPr>
        <w:pStyle w:val="Heading3"/>
      </w:pPr>
      <w:r>
        <w:t xml:space="preserve">B3.4 Brazil and Mexico</w:t>
      </w:r>
    </w:p>
    <w:p>
      <w:pPr>
        <w:pStyle w:val="FirstParagraph"/>
      </w:pPr>
      <w:r>
        <w:t xml:space="preserve">Both have academic optimal-fuel-tax computations applied to their conditions. Mexico has had a carbon component on fuels since 2014. Brazil’s distinctive ethanol question is treated in Heine et al.: the largest externality for gasoline and ethanol is accidents, while air pollution dominates for diesel. Neither country institutionalises the analysis.</w:t>
      </w:r>
    </w:p>
    <w:bookmarkEnd w:id="72"/>
    <w:bookmarkStart w:id="73" w:name="b3.5-south-africa"/>
    <w:p>
      <w:pPr>
        <w:pStyle w:val="Heading3"/>
      </w:pPr>
      <w:r>
        <w:t xml:space="preserve">B3.5 South Africa</w:t>
      </w:r>
    </w:p>
    <w:p>
      <w:pPr>
        <w:pStyle w:val="FirstParagraph"/>
      </w:pPr>
      <w:r>
        <w:t xml:space="preserve">South Africa has the most developed legislative carbon-pricing architecture among middle-income countries, with a carbon tax operating since 2019, fuel-levy escalators, and Treasury budget reviews that engage with externality reasoning. The integrated diagnostic is still missing.</w:t>
      </w:r>
    </w:p>
    <w:bookmarkEnd w:id="73"/>
    <w:bookmarkStart w:id="74" w:name="b3.6-sub-saharan-africa-more-broadly"/>
    <w:p>
      <w:pPr>
        <w:pStyle w:val="Heading3"/>
      </w:pPr>
      <w:r>
        <w:t xml:space="preserve">B3.6 Sub-Saharan Africa more broadly</w:t>
      </w:r>
    </w:p>
    <w:p>
      <w:pPr>
        <w:pStyle w:val="FirstParagraph"/>
      </w:pPr>
      <w:r>
        <w:t xml:space="preserve">The Institute for Fiscal Studies has produced what is in effect the closest existing template for an LIC-applicable diagnostic: its report on green motor taxation in sub-Saharan Africa, funded by the FCDO and the Gates Foundation, walks through the four main externalities for SSA conditions, documents fuel and vehicle tax structures across Ethiopia, Ghana, Rwanda and Uganda, and uses microsimulation on household survey data to compute incidence. It is calibrated for LIC realities — very low motorisation, high pedestrian-fatality share, geographic concentration of vehicles in capitals.</w:t>
      </w:r>
    </w:p>
    <w:p>
      <w:pPr>
        <w:pStyle w:val="BodyText"/>
      </w:pPr>
      <w:r>
        <w:t xml:space="preserve">It is an academic study, not a government product. But it is the analytical template a Tier-2 diagnostic should follow.</w:t>
      </w:r>
    </w:p>
    <w:bookmarkEnd w:id="74"/>
    <w:bookmarkStart w:id="75" w:name="b3.7-what-national-practice-tells-us"/>
    <w:p>
      <w:pPr>
        <w:pStyle w:val="Heading3"/>
      </w:pPr>
      <w:r>
        <w:t xml:space="preserve">B3.7 What national practice tells us</w:t>
      </w:r>
    </w:p>
    <w:p>
      <w:pPr>
        <w:pStyle w:val="FirstParagraph"/>
      </w:pPr>
      <w:r>
        <w:t xml:space="preserve">Three points emerge. First, no country produces, as a recurring institutional output, the integrated diagnostic we are proposing. The gap is real. Second, the UK discipline of standardised valuation parameters is the model worth copying — not the specific values, which are UK-specific, but the institutional habit of having one VSL, one carbon price, one set of pollution damage costs that all government analysts use. Third, the methodology to do the work in developing-country settings already exists; what is missing is the synthesis.</w:t>
      </w:r>
    </w:p>
    <w:bookmarkEnd w:id="75"/>
    <w:bookmarkEnd w:id="76"/>
    <w:bookmarkStart w:id="79" w:name="b4.-data-needs-and-gaps"/>
    <w:p>
      <w:pPr>
        <w:pStyle w:val="Heading1"/>
      </w:pPr>
      <w:r>
        <w:t xml:space="preserve">B4. Data needs and gaps</w:t>
      </w:r>
    </w:p>
    <w:p>
      <w:pPr>
        <w:pStyle w:val="FirstParagraph"/>
      </w:pPr>
      <w:r>
        <w:t xml:space="preserve">The realistic question is not whether the diagnostic can be done but how much country-specific data is needed for the answer to be defensible. The table below lists the inputs by section, distinguishes between Tier 1 and Tier 2 requirements, and flags where each input typically comes from.</w:t>
      </w:r>
    </w:p>
    <w:tbl>
      <w:tblPr>
        <w:tblStyle w:val="Table"/>
        <w:tblW w:type="pct" w:w="4964"/>
        <w:tblLayout w:type="fixed"/>
        <w:tblLook w:firstRow="1" w:lastRow="0" w:firstColumn="0" w:lastColumn="0" w:noHBand="0" w:noVBand="0" w:val="0020"/>
      </w:tblPr>
      <w:tblGrid>
        <w:gridCol w:w="1220"/>
        <w:gridCol w:w="2185"/>
        <w:gridCol w:w="2015"/>
        <w:gridCol w:w="2441"/>
      </w:tblGrid>
      <w:tr>
        <w:trPr>
          <w:tblHeader w:val="on"/>
        </w:trPr>
        <w:tc>
          <w:tcPr/>
          <w:p>
            <w:pPr>
              <w:pStyle w:val="Compact"/>
              <w:jc w:val="left"/>
            </w:pPr>
            <w:r>
              <w:rPr>
                <w:b/>
                <w:bCs/>
              </w:rPr>
              <w:t xml:space="preserve">Input</w:t>
            </w:r>
          </w:p>
        </w:tc>
        <w:tc>
          <w:tcPr/>
          <w:p>
            <w:pPr>
              <w:pStyle w:val="Compact"/>
              <w:jc w:val="left"/>
            </w:pPr>
            <w:r>
              <w:rPr>
                <w:b/>
                <w:bCs/>
              </w:rPr>
              <w:t xml:space="preserve">Tier 1 source</w:t>
            </w:r>
          </w:p>
        </w:tc>
        <w:tc>
          <w:tcPr/>
          <w:p>
            <w:pPr>
              <w:pStyle w:val="Compact"/>
              <w:jc w:val="left"/>
            </w:pPr>
            <w:r>
              <w:rPr>
                <w:b/>
                <w:bCs/>
              </w:rPr>
              <w:t xml:space="preserve">Tier 2 source</w:t>
            </w:r>
          </w:p>
        </w:tc>
        <w:tc>
          <w:tcPr/>
          <w:p>
            <w:pPr>
              <w:pStyle w:val="Compact"/>
              <w:jc w:val="left"/>
            </w:pPr>
            <w:r>
              <w:rPr>
                <w:b/>
                <w:bCs/>
              </w:rPr>
              <w:t xml:space="preserve">Gap risk</w:t>
            </w:r>
          </w:p>
        </w:tc>
      </w:tr>
      <w:tr>
        <w:tc>
          <w:tcPr/>
          <w:p>
            <w:pPr>
              <w:pStyle w:val="Compact"/>
              <w:jc w:val="left"/>
            </w:pPr>
            <w:r>
              <w:rPr>
                <w:b/>
                <w:bCs/>
              </w:rPr>
              <w:t xml:space="preserve">Statutory tax rates</w:t>
            </w:r>
          </w:p>
        </w:tc>
        <w:tc>
          <w:tcPr/>
          <w:p>
            <w:pPr>
              <w:pStyle w:val="Compact"/>
              <w:jc w:val="left"/>
            </w:pPr>
            <w:r>
              <w:t xml:space="preserve">Finance Ministry, IMF Article IV</w:t>
            </w:r>
          </w:p>
        </w:tc>
        <w:tc>
          <w:tcPr/>
          <w:p>
            <w:pPr>
              <w:pStyle w:val="Compact"/>
              <w:jc w:val="left"/>
            </w:pPr>
            <w:r>
              <w:t xml:space="preserve">Same</w:t>
            </w:r>
          </w:p>
        </w:tc>
        <w:tc>
          <w:tcPr/>
          <w:p>
            <w:pPr>
              <w:pStyle w:val="Compact"/>
              <w:jc w:val="left"/>
            </w:pPr>
            <w:r>
              <w:t xml:space="preserve">Low. Public.</w:t>
            </w:r>
          </w:p>
        </w:tc>
      </w:tr>
      <w:tr>
        <w:tc>
          <w:tcPr/>
          <w:p>
            <w:pPr>
              <w:pStyle w:val="Compact"/>
              <w:jc w:val="left"/>
            </w:pPr>
            <w:r>
              <w:rPr>
                <w:b/>
                <w:bCs/>
              </w:rPr>
              <w:t xml:space="preserve">Implicit subsidies</w:t>
            </w:r>
          </w:p>
        </w:tc>
        <w:tc>
          <w:tcPr/>
          <w:p>
            <w:pPr>
              <w:pStyle w:val="Compact"/>
              <w:jc w:val="left"/>
            </w:pPr>
            <w:r>
              <w:t xml:space="preserve">IMF Black-Parry-Vernon updates</w:t>
            </w:r>
          </w:p>
        </w:tc>
        <w:tc>
          <w:tcPr/>
          <w:p>
            <w:pPr>
              <w:pStyle w:val="Compact"/>
              <w:jc w:val="left"/>
            </w:pPr>
            <w:r>
              <w:t xml:space="preserve">Same</w:t>
            </w:r>
          </w:p>
        </w:tc>
        <w:tc>
          <w:tcPr/>
          <w:p>
            <w:pPr>
              <w:pStyle w:val="Compact"/>
              <w:jc w:val="left"/>
            </w:pPr>
            <w:r>
              <w:t xml:space="preserve">Low. Standardised globally.</w:t>
            </w:r>
          </w:p>
        </w:tc>
      </w:tr>
      <w:tr>
        <w:tc>
          <w:tcPr/>
          <w:p>
            <w:pPr>
              <w:pStyle w:val="Compact"/>
              <w:jc w:val="left"/>
            </w:pPr>
            <w:r>
              <w:rPr>
                <w:b/>
                <w:bCs/>
              </w:rPr>
              <w:t xml:space="preserve">Carbon shadow price</w:t>
            </w:r>
          </w:p>
        </w:tc>
        <w:tc>
          <w:tcPr/>
          <w:p>
            <w:pPr>
              <w:pStyle w:val="Compact"/>
              <w:jc w:val="left"/>
            </w:pPr>
            <w:r>
              <w:t xml:space="preserve">WB recommended SCC trajectory or country TECP</w:t>
            </w:r>
          </w:p>
        </w:tc>
        <w:tc>
          <w:tcPr/>
          <w:p>
            <w:pPr>
              <w:pStyle w:val="Compact"/>
              <w:jc w:val="left"/>
            </w:pPr>
            <w:r>
              <w:t xml:space="preserve">Same</w:t>
            </w:r>
          </w:p>
        </w:tc>
        <w:tc>
          <w:tcPr/>
          <w:p>
            <w:pPr>
              <w:pStyle w:val="Compact"/>
              <w:jc w:val="left"/>
            </w:pPr>
            <w:r>
              <w:t xml:space="preserve">Low. Choice is normative, not data.</w:t>
            </w:r>
          </w:p>
        </w:tc>
      </w:tr>
      <w:tr>
        <w:tc>
          <w:tcPr/>
          <w:p>
            <w:pPr>
              <w:pStyle w:val="Compact"/>
              <w:jc w:val="left"/>
            </w:pPr>
            <w:r>
              <w:rPr>
                <w:b/>
                <w:bCs/>
              </w:rPr>
              <w:t xml:space="preserve">Local air pollution mortality</w:t>
            </w:r>
          </w:p>
        </w:tc>
        <w:tc>
          <w:tcPr/>
          <w:p>
            <w:pPr>
              <w:pStyle w:val="Compact"/>
              <w:jc w:val="left"/>
            </w:pPr>
            <w:r>
              <w:t xml:space="preserve">Country Climate and Health Program output, GBD</w:t>
            </w:r>
          </w:p>
        </w:tc>
        <w:tc>
          <w:tcPr/>
          <w:p>
            <w:pPr>
              <w:pStyle w:val="Compact"/>
              <w:jc w:val="left"/>
            </w:pPr>
            <w:r>
              <w:t xml:space="preserve">GBD pooled, WHO AirQ+ defaults</w:t>
            </w:r>
          </w:p>
        </w:tc>
        <w:tc>
          <w:tcPr/>
          <w:p>
            <w:pPr>
              <w:pStyle w:val="Compact"/>
              <w:jc w:val="left"/>
            </w:pPr>
            <w:r>
              <w:t xml:space="preserve">Medium. GBD covers all countries but local exposure data is weak in LICs.</w:t>
            </w:r>
          </w:p>
        </w:tc>
      </w:tr>
      <w:tr>
        <w:tc>
          <w:tcPr/>
          <w:p>
            <w:pPr>
              <w:pStyle w:val="Compact"/>
              <w:jc w:val="left"/>
            </w:pPr>
            <w:r>
              <w:rPr>
                <w:b/>
                <w:bCs/>
              </w:rPr>
              <w:t xml:space="preserve">VSL</w:t>
            </w:r>
          </w:p>
        </w:tc>
        <w:tc>
          <w:tcPr/>
          <w:p>
            <w:pPr>
              <w:pStyle w:val="Compact"/>
              <w:jc w:val="left"/>
            </w:pPr>
            <w:r>
              <w:t xml:space="preserve">Income-elasticity transfer from OECD baseline using country GNI per capita</w:t>
            </w:r>
          </w:p>
        </w:tc>
        <w:tc>
          <w:tcPr/>
          <w:p>
            <w:pPr>
              <w:pStyle w:val="Compact"/>
              <w:jc w:val="left"/>
            </w:pPr>
            <w:r>
              <w:t xml:space="preserve">Same, with wider sensitivity range</w:t>
            </w:r>
          </w:p>
        </w:tc>
        <w:tc>
          <w:tcPr/>
          <w:p>
            <w:pPr>
              <w:pStyle w:val="Compact"/>
              <w:jc w:val="left"/>
            </w:pPr>
            <w:r>
              <w:t xml:space="preserve">Medium. Transferred values are contested but transparent.</w:t>
            </w:r>
          </w:p>
        </w:tc>
      </w:tr>
      <w:tr>
        <w:tc>
          <w:tcPr/>
          <w:p>
            <w:pPr>
              <w:pStyle w:val="Compact"/>
              <w:jc w:val="left"/>
            </w:pPr>
            <w:r>
              <w:rPr>
                <w:b/>
                <w:bCs/>
              </w:rPr>
              <w:t xml:space="preserve">Accident costs</w:t>
            </w:r>
          </w:p>
        </w:tc>
        <w:tc>
          <w:tcPr/>
          <w:p>
            <w:pPr>
              <w:pStyle w:val="Compact"/>
              <w:jc w:val="left"/>
            </w:pPr>
            <w:r>
              <w:t xml:space="preserve">Police data, Health Ministry, WHO road safety</w:t>
            </w:r>
          </w:p>
        </w:tc>
        <w:tc>
          <w:tcPr/>
          <w:p>
            <w:pPr>
              <w:pStyle w:val="Compact"/>
              <w:jc w:val="left"/>
            </w:pPr>
            <w:r>
              <w:t xml:space="preserve">WHO Global Status Report on Road Safety</w:t>
            </w:r>
          </w:p>
        </w:tc>
        <w:tc>
          <w:tcPr/>
          <w:p>
            <w:pPr>
              <w:pStyle w:val="Compact"/>
              <w:jc w:val="left"/>
            </w:pPr>
            <w:r>
              <w:t xml:space="preserve">High. Accident reporting is poor in most LICs and underestimates pedestrian deaths.</w:t>
            </w:r>
          </w:p>
        </w:tc>
      </w:tr>
      <w:tr>
        <w:tc>
          <w:tcPr/>
          <w:p>
            <w:pPr>
              <w:pStyle w:val="Compact"/>
              <w:jc w:val="left"/>
            </w:pPr>
            <w:r>
              <w:rPr>
                <w:b/>
                <w:bCs/>
              </w:rPr>
              <w:t xml:space="preserve">Congestion</w:t>
            </w:r>
          </w:p>
        </w:tc>
        <w:tc>
          <w:tcPr/>
          <w:p>
            <w:pPr>
              <w:pStyle w:val="Compact"/>
              <w:jc w:val="left"/>
            </w:pPr>
            <w:r>
              <w:t xml:space="preserve">City speed-flow data, TomTom or local</w:t>
            </w:r>
          </w:p>
        </w:tc>
        <w:tc>
          <w:tcPr/>
          <w:p>
            <w:pPr>
              <w:pStyle w:val="Compact"/>
              <w:jc w:val="left"/>
            </w:pPr>
            <w:r>
              <w:t xml:space="preserve">Skip outside primary city; primary city via comparator extrapolation</w:t>
            </w:r>
          </w:p>
        </w:tc>
        <w:tc>
          <w:tcPr/>
          <w:p>
            <w:pPr>
              <w:pStyle w:val="Compact"/>
              <w:jc w:val="left"/>
            </w:pPr>
            <w:r>
              <w:t xml:space="preserve">High. Real data is rare; comparator extrapolation has wide error bars.</w:t>
            </w:r>
          </w:p>
        </w:tc>
      </w:tr>
      <w:tr>
        <w:tc>
          <w:tcPr/>
          <w:p>
            <w:pPr>
              <w:pStyle w:val="Compact"/>
              <w:jc w:val="left"/>
            </w:pPr>
            <w:r>
              <w:rPr>
                <w:b/>
                <w:bCs/>
              </w:rPr>
              <w:t xml:space="preserve">Fuel-price elasticity</w:t>
            </w:r>
          </w:p>
        </w:tc>
        <w:tc>
          <w:tcPr/>
          <w:p>
            <w:pPr>
              <w:pStyle w:val="Compact"/>
              <w:jc w:val="left"/>
            </w:pPr>
            <w:r>
              <w:t xml:space="preserve">Country estimate if credible; pooled regional otherwise</w:t>
            </w:r>
          </w:p>
        </w:tc>
        <w:tc>
          <w:tcPr/>
          <w:p>
            <w:pPr>
              <w:pStyle w:val="Compact"/>
              <w:jc w:val="left"/>
            </w:pPr>
            <w:r>
              <w:t xml:space="preserve">Pooled regional</w:t>
            </w:r>
          </w:p>
        </w:tc>
        <w:tc>
          <w:tcPr/>
          <w:p>
            <w:pPr>
              <w:pStyle w:val="Compact"/>
              <w:jc w:val="left"/>
            </w:pPr>
            <w:r>
              <w:t xml:space="preserve">High. Almost no LICs have credible local estimates.</w:t>
            </w:r>
          </w:p>
        </w:tc>
      </w:tr>
      <w:tr>
        <w:tc>
          <w:tcPr/>
          <w:p>
            <w:pPr>
              <w:pStyle w:val="Compact"/>
              <w:jc w:val="left"/>
            </w:pPr>
            <w:r>
              <w:rPr>
                <w:b/>
                <w:bCs/>
              </w:rPr>
              <w:t xml:space="preserve">Mileage / fuel-economy decomposition</w:t>
            </w:r>
          </w:p>
        </w:tc>
        <w:tc>
          <w:tcPr/>
          <w:p>
            <w:pPr>
              <w:pStyle w:val="Compact"/>
              <w:jc w:val="left"/>
            </w:pPr>
            <w:r>
              <w:t xml:space="preserve">Default 0.5 / 0.5 with sensitivity 0.35–0.65</w:t>
            </w:r>
          </w:p>
        </w:tc>
        <w:tc>
          <w:tcPr/>
          <w:p>
            <w:pPr>
              <w:pStyle w:val="Compact"/>
              <w:jc w:val="left"/>
            </w:pPr>
            <w:r>
              <w:t xml:space="preserve">Same default</w:t>
            </w:r>
          </w:p>
        </w:tc>
        <w:tc>
          <w:tcPr/>
          <w:p>
            <w:pPr>
              <w:pStyle w:val="Compact"/>
              <w:jc w:val="left"/>
            </w:pPr>
            <w:r>
              <w:t xml:space="preserve">Medium. Sensitivity range is wide but the parameter is well-discussed.</w:t>
            </w:r>
          </w:p>
        </w:tc>
      </w:tr>
      <w:tr>
        <w:tc>
          <w:tcPr/>
          <w:p>
            <w:pPr>
              <w:pStyle w:val="Compact"/>
              <w:jc w:val="left"/>
            </w:pPr>
            <w:r>
              <w:rPr>
                <w:b/>
                <w:bCs/>
              </w:rPr>
              <w:t xml:space="preserve">Vehicle stock and vintage</w:t>
            </w:r>
          </w:p>
        </w:tc>
        <w:tc>
          <w:tcPr/>
          <w:p>
            <w:pPr>
              <w:pStyle w:val="Compact"/>
              <w:jc w:val="left"/>
            </w:pPr>
            <w:r>
              <w:t xml:space="preserve">Customs and registration data</w:t>
            </w:r>
          </w:p>
        </w:tc>
        <w:tc>
          <w:tcPr/>
          <w:p>
            <w:pPr>
              <w:pStyle w:val="Compact"/>
              <w:jc w:val="left"/>
            </w:pPr>
            <w:r>
              <w:t xml:space="preserve">Customs and registration; aggregated only</w:t>
            </w:r>
          </w:p>
        </w:tc>
        <w:tc>
          <w:tcPr/>
          <w:p>
            <w:pPr>
              <w:pStyle w:val="Compact"/>
              <w:jc w:val="left"/>
            </w:pPr>
            <w:r>
              <w:t xml:space="preserve">Medium. Available but often stale.</w:t>
            </w:r>
          </w:p>
        </w:tc>
      </w:tr>
      <w:tr>
        <w:tc>
          <w:tcPr/>
          <w:p>
            <w:pPr>
              <w:pStyle w:val="Compact"/>
              <w:jc w:val="left"/>
            </w:pPr>
            <w:r>
              <w:rPr>
                <w:b/>
                <w:bCs/>
              </w:rPr>
              <w:t xml:space="preserve">Household incidence</w:t>
            </w:r>
          </w:p>
        </w:tc>
        <w:tc>
          <w:tcPr/>
          <w:p>
            <w:pPr>
              <w:pStyle w:val="Compact"/>
              <w:jc w:val="left"/>
            </w:pPr>
            <w:r>
              <w:t xml:space="preserve">CPAT incidence module; HBS where available</w:t>
            </w:r>
          </w:p>
        </w:tc>
        <w:tc>
          <w:tcPr/>
          <w:p>
            <w:pPr>
              <w:pStyle w:val="Compact"/>
              <w:jc w:val="left"/>
            </w:pPr>
            <w:r>
              <w:t xml:space="preserve">CPAT incidence module</w:t>
            </w:r>
          </w:p>
        </w:tc>
        <w:tc>
          <w:tcPr/>
          <w:p>
            <w:pPr>
              <w:pStyle w:val="Compact"/>
              <w:jc w:val="left"/>
            </w:pPr>
            <w:r>
              <w:t xml:space="preserve">Low. CPAT does this well.</w:t>
            </w:r>
          </w:p>
        </w:tc>
      </w:tr>
    </w:tbl>
    <w:bookmarkStart w:id="77" w:name="b4.1-the-three-serious-gaps"/>
    <w:p>
      <w:pPr>
        <w:pStyle w:val="Heading3"/>
      </w:pPr>
      <w:r>
        <w:t xml:space="preserve">B4.1 The three serious gaps</w:t>
      </w:r>
    </w:p>
    <w:p>
      <w:pPr>
        <w:pStyle w:val="FirstParagraph"/>
      </w:pPr>
      <w:r>
        <w:t xml:space="preserve">Three data gaps will dominate practical use of the diagnostic in developing-country settings.</w:t>
      </w:r>
    </w:p>
    <w:p>
      <w:pPr>
        <w:numPr>
          <w:ilvl w:val="0"/>
          <w:numId w:val="1007"/>
        </w:numPr>
      </w:pPr>
      <w:r>
        <w:rPr>
          <w:b/>
          <w:bCs/>
        </w:rPr>
        <w:t xml:space="preserve">Local air pollution exposure.</w:t>
      </w:r>
      <w:r>
        <w:t xml:space="preserve"> </w:t>
      </w:r>
      <w:r>
        <w:t xml:space="preserve">GBD provides country-level mortality estimates that are usable, but the spatial granularity needed to attribute mortality to transport-sector emissions specifically is missing in most LICs and many LMICs. The Climate and Health Program is investing in this, but the gap will persist. The diagnostic should report explicit ranges rather than point estimates and flag when the underlying exposure data is GBD-default rather than country-specific.</w:t>
      </w:r>
    </w:p>
    <w:p>
      <w:pPr>
        <w:numPr>
          <w:ilvl w:val="0"/>
          <w:numId w:val="1007"/>
        </w:numPr>
      </w:pPr>
      <w:r>
        <w:rPr>
          <w:b/>
          <w:bCs/>
        </w:rPr>
        <w:t xml:space="preserve">Accident cost estimation.</w:t>
      </w:r>
      <w:r>
        <w:t xml:space="preserve"> </w:t>
      </w:r>
      <w:r>
        <w:t xml:space="preserve">Police accident reporting is incomplete in most developing countries and systematically undercounts pedestrian and cyclist fatalities — exactly the categories most relevant for assessing the external accident cost of motorised travel. The WHO Global Status Report on Road Safety provides corrected estimates but at country level only. For Tier 1 work the diagnostic should triangulate police, health-ministry mortuary, and WHO-corrected estimates and report the range.</w:t>
      </w:r>
    </w:p>
    <w:p>
      <w:pPr>
        <w:numPr>
          <w:ilvl w:val="0"/>
          <w:numId w:val="1007"/>
        </w:numPr>
      </w:pPr>
      <w:r>
        <w:rPr>
          <w:b/>
          <w:bCs/>
        </w:rPr>
        <w:t xml:space="preserve">Local fuel-price elasticities.</w:t>
      </w:r>
      <w:r>
        <w:t xml:space="preserve"> </w:t>
      </w:r>
      <w:r>
        <w:t xml:space="preserve">Almost no LIC has a credible local estimate. Pooled regional or global elasticities must be used, with sensitivity analysis. The corrective fuel tax can vary by 20 to 30 per cent across plausible elasticity ranges, so this is a material uncertainty that the report must surface, not bury.</w:t>
      </w:r>
    </w:p>
    <w:bookmarkEnd w:id="77"/>
    <w:bookmarkStart w:id="78" w:name="X64f7b4eac0ba765f1e341cf4b627dceb2f5e4e5"/>
    <w:p>
      <w:pPr>
        <w:pStyle w:val="Heading3"/>
      </w:pPr>
      <w:r>
        <w:t xml:space="preserve">B4.2 What the diagnostic does not require</w:t>
      </w:r>
    </w:p>
    <w:p>
      <w:pPr>
        <w:pStyle w:val="FirstParagraph"/>
      </w:pPr>
      <w:r>
        <w:t xml:space="preserve">To keep the diagnostic tractable, several things are deliberately out of scope. New modelling capacity is not required — CPAT and Climate and Health Program outputs are inputs, not things the diagnostic re-runs. Country-specific concentration-response functions are not required — pooled functions from GBD are used. Bottom-up emissions inventories are not required — fuel-consumption-based estimates are sufficient. Detailed urban transport modelling is not required — congestion is treated as a single externality term per litre with explicit uncertainty.</w:t>
      </w:r>
    </w:p>
    <w:p>
      <w:pPr>
        <w:pStyle w:val="BodyText"/>
      </w:pPr>
      <w:r>
        <w:t xml:space="preserve">The principle is to use the best existing input wherever possible and to be honest about ranges where it does not exist. The diagnostic value is in synthesis and discipline, not in new computation.</w:t>
      </w:r>
    </w:p>
    <w:bookmarkEnd w:id="78"/>
    <w:bookmarkEnd w:id="79"/>
    <w:bookmarkStart w:id="81" w:name="X8dbfd816316acb9834152cd914f24982c855dbf"/>
    <w:p>
      <w:pPr>
        <w:pStyle w:val="Heading1"/>
      </w:pPr>
      <w:r>
        <w:t xml:space="preserve">B5. The valuation spine: standardized parameters</w:t>
      </w:r>
    </w:p>
    <w:p>
      <w:pPr>
        <w:pStyle w:val="FirstParagraph"/>
      </w:pPr>
      <w:r>
        <w:t xml:space="preserve">Following the UK example, the diagnostic uses a fixed set of valuation parameters across all sections of any single country report. The parameters are not country-specific — that is precisely the point. Country-specific data enters via the externality estimates themselves (exposure, accident counts, fuel volumes), but the values applied to those quantities are drawn from a standard table. This avoids the problem of one analyst using a 2020 SCC and another a 2030 SCC in the same report.</w:t>
      </w:r>
    </w:p>
    <w:bookmarkStart w:id="80" w:name="b5.1-recommended-defaults"/>
    <w:p>
      <w:pPr>
        <w:pStyle w:val="Heading3"/>
      </w:pPr>
      <w:r>
        <w:t xml:space="preserve">B5.1 Recommended defaults</w:t>
      </w:r>
    </w:p>
    <w:tbl>
      <w:tblPr>
        <w:tblStyle w:val="Table"/>
        <w:tblW w:type="pct" w:w="4948"/>
        <w:tblLayout w:type="fixed"/>
        <w:tblLook w:firstRow="1" w:lastRow="0" w:firstColumn="0" w:lastColumn="0" w:noHBand="0" w:noVBand="0" w:val="0020"/>
      </w:tblPr>
      <w:tblGrid>
        <w:gridCol w:w="1764"/>
        <w:gridCol w:w="2831"/>
        <w:gridCol w:w="3241"/>
      </w:tblGrid>
      <w:tr>
        <w:trPr>
          <w:tblHeader w:val="on"/>
        </w:trPr>
        <w:tc>
          <w:tcPr/>
          <w:p>
            <w:pPr>
              <w:pStyle w:val="Compact"/>
              <w:jc w:val="left"/>
            </w:pPr>
            <w:r>
              <w:rPr>
                <w:b/>
                <w:bCs/>
              </w:rPr>
              <w:t xml:space="preserve">Parameter</w:t>
            </w:r>
          </w:p>
        </w:tc>
        <w:tc>
          <w:tcPr/>
          <w:p>
            <w:pPr>
              <w:pStyle w:val="Compact"/>
              <w:jc w:val="left"/>
            </w:pPr>
            <w:r>
              <w:rPr>
                <w:b/>
                <w:bCs/>
              </w:rPr>
              <w:t xml:space="preserve">Default value</w:t>
            </w:r>
          </w:p>
        </w:tc>
        <w:tc>
          <w:tcPr/>
          <w:p>
            <w:pPr>
              <w:pStyle w:val="Compact"/>
              <w:jc w:val="left"/>
            </w:pPr>
            <w:r>
              <w:rPr>
                <w:b/>
                <w:bCs/>
              </w:rPr>
              <w:t xml:space="preserve">Source / sensitivity range</w:t>
            </w:r>
          </w:p>
        </w:tc>
      </w:tr>
      <w:tr>
        <w:tc>
          <w:tcPr/>
          <w:p>
            <w:pPr>
              <w:pStyle w:val="Compact"/>
              <w:jc w:val="left"/>
            </w:pPr>
            <w:r>
              <w:rPr>
                <w:b/>
                <w:bCs/>
              </w:rPr>
              <w:t xml:space="preserve">Carbon shadow price</w:t>
            </w:r>
          </w:p>
        </w:tc>
        <w:tc>
          <w:tcPr/>
          <w:p>
            <w:pPr>
              <w:pStyle w:val="Compact"/>
              <w:jc w:val="left"/>
            </w:pPr>
            <w:r>
              <w:t xml:space="preserve">USD 75/tCO2 (2026), rising 2 per cent annually</w:t>
            </w:r>
          </w:p>
        </w:tc>
        <w:tc>
          <w:tcPr/>
          <w:p>
            <w:pPr>
              <w:pStyle w:val="Compact"/>
              <w:jc w:val="left"/>
            </w:pPr>
            <w:r>
              <w:t xml:space="preserve">WB-IMF carbon price floor for high-income countries; sensitivity USD 50–150.</w:t>
            </w:r>
          </w:p>
        </w:tc>
      </w:tr>
      <w:tr>
        <w:tc>
          <w:tcPr/>
          <w:p>
            <w:pPr>
              <w:pStyle w:val="Compact"/>
              <w:jc w:val="left"/>
            </w:pPr>
            <w:r>
              <w:rPr>
                <w:b/>
                <w:bCs/>
              </w:rPr>
              <w:t xml:space="preserve">VSL — high-income baseline</w:t>
            </w:r>
          </w:p>
        </w:tc>
        <w:tc>
          <w:tcPr/>
          <w:p>
            <w:pPr>
              <w:pStyle w:val="Compact"/>
              <w:jc w:val="left"/>
            </w:pPr>
            <w:r>
              <w:t xml:space="preserve">USD 4.7 million (OECD 2024)</w:t>
            </w:r>
          </w:p>
        </w:tc>
        <w:tc>
          <w:tcPr/>
          <w:p>
            <w:pPr>
              <w:pStyle w:val="Compact"/>
              <w:jc w:val="left"/>
            </w:pPr>
            <w:r>
              <w:t xml:space="preserve">OECD Mortality Risk Valuation. Sensitivity +/- 30 per cent.</w:t>
            </w:r>
          </w:p>
        </w:tc>
      </w:tr>
      <w:tr>
        <w:tc>
          <w:tcPr/>
          <w:p>
            <w:pPr>
              <w:pStyle w:val="Compact"/>
              <w:jc w:val="left"/>
            </w:pPr>
            <w:r>
              <w:rPr>
                <w:b/>
                <w:bCs/>
              </w:rPr>
              <w:t xml:space="preserve">VSL income elasticity for transfer</w:t>
            </w:r>
          </w:p>
        </w:tc>
        <w:tc>
          <w:tcPr/>
          <w:p>
            <w:pPr>
              <w:pStyle w:val="Compact"/>
              <w:jc w:val="left"/>
            </w:pPr>
            <w:r>
              <w:t xml:space="preserve">1.0</w:t>
            </w:r>
          </w:p>
        </w:tc>
        <w:tc>
          <w:tcPr/>
          <w:p>
            <w:pPr>
              <w:pStyle w:val="Compact"/>
              <w:jc w:val="left"/>
            </w:pPr>
            <w:r>
              <w:t xml:space="preserve">OECD recommendation. Sensitivity 0.8–1.2.</w:t>
            </w:r>
          </w:p>
        </w:tc>
      </w:tr>
      <w:tr>
        <w:tc>
          <w:tcPr/>
          <w:p>
            <w:pPr>
              <w:pStyle w:val="Compact"/>
              <w:jc w:val="left"/>
            </w:pPr>
            <w:r>
              <w:rPr>
                <w:b/>
                <w:bCs/>
              </w:rPr>
              <w:t xml:space="preserve">PM2.5 damage cost</w:t>
            </w:r>
          </w:p>
        </w:tc>
        <w:tc>
          <w:tcPr/>
          <w:p>
            <w:pPr>
              <w:pStyle w:val="Compact"/>
              <w:jc w:val="left"/>
            </w:pPr>
            <w:r>
              <w:t xml:space="preserve">Country-specific from VSL × mortality CRF</w:t>
            </w:r>
          </w:p>
        </w:tc>
        <w:tc>
          <w:tcPr/>
          <w:p>
            <w:pPr>
              <w:pStyle w:val="Compact"/>
              <w:jc w:val="left"/>
            </w:pPr>
            <w:r>
              <w:t xml:space="preserve">Computed, not assumed. CRF from GBD or country if available.</w:t>
            </w:r>
          </w:p>
        </w:tc>
      </w:tr>
      <w:tr>
        <w:tc>
          <w:tcPr/>
          <w:p>
            <w:pPr>
              <w:pStyle w:val="Compact"/>
              <w:jc w:val="left"/>
            </w:pPr>
            <w:r>
              <w:rPr>
                <w:b/>
                <w:bCs/>
              </w:rPr>
              <w:t xml:space="preserve">Fuel-price elasticity</w:t>
            </w:r>
          </w:p>
        </w:tc>
        <w:tc>
          <w:tcPr/>
          <w:p>
            <w:pPr>
              <w:pStyle w:val="Compact"/>
              <w:jc w:val="left"/>
            </w:pPr>
            <w:r>
              <w:t xml:space="preserve">−0.3 short run, −0.6 long run</w:t>
            </w:r>
          </w:p>
        </w:tc>
        <w:tc>
          <w:tcPr/>
          <w:p>
            <w:pPr>
              <w:pStyle w:val="Compact"/>
              <w:jc w:val="left"/>
            </w:pPr>
            <w:r>
              <w:t xml:space="preserve">Pooled estimates from Sterner and others. Sensitivity −0.2 to −0.8.</w:t>
            </w:r>
          </w:p>
        </w:tc>
      </w:tr>
      <w:tr>
        <w:tc>
          <w:tcPr/>
          <w:p>
            <w:pPr>
              <w:pStyle w:val="Compact"/>
              <w:jc w:val="left"/>
            </w:pPr>
            <w:r>
              <w:rPr>
                <w:b/>
                <w:bCs/>
              </w:rPr>
              <w:t xml:space="preserve">Mileage share of fuel-price response</w:t>
            </w:r>
          </w:p>
        </w:tc>
        <w:tc>
          <w:tcPr/>
          <w:p>
            <w:pPr>
              <w:pStyle w:val="Compact"/>
              <w:jc w:val="left"/>
            </w:pPr>
            <w:r>
              <w:t xml:space="preserve">0.5</w:t>
            </w:r>
          </w:p>
        </w:tc>
        <w:tc>
          <w:tcPr/>
          <w:p>
            <w:pPr>
              <w:pStyle w:val="Compact"/>
              <w:jc w:val="left"/>
            </w:pPr>
            <w:r>
              <w:t xml:space="preserve">IMF GEPR default. Sensitivity 0.35–0.65.</w:t>
            </w:r>
          </w:p>
        </w:tc>
      </w:tr>
      <w:tr>
        <w:tc>
          <w:tcPr/>
          <w:p>
            <w:pPr>
              <w:pStyle w:val="Compact"/>
              <w:jc w:val="left"/>
            </w:pPr>
            <w:r>
              <w:rPr>
                <w:b/>
                <w:bCs/>
              </w:rPr>
              <w:t xml:space="preserve">Discount rate</w:t>
            </w:r>
          </w:p>
        </w:tc>
        <w:tc>
          <w:tcPr/>
          <w:p>
            <w:pPr>
              <w:pStyle w:val="Compact"/>
              <w:jc w:val="left"/>
            </w:pPr>
            <w:r>
              <w:t xml:space="preserve">Country social discount rate where published, otherwise 5 per cent</w:t>
            </w:r>
          </w:p>
        </w:tc>
        <w:tc>
          <w:tcPr/>
          <w:p>
            <w:pPr>
              <w:pStyle w:val="Compact"/>
              <w:jc w:val="left"/>
            </w:pPr>
            <w:r>
              <w:t xml:space="preserve">Sensitivity 3–7 per cent.</w:t>
            </w:r>
          </w:p>
        </w:tc>
      </w:tr>
    </w:tbl>
    <w:p>
      <w:pPr>
        <w:pStyle w:val="BodyText"/>
      </w:pPr>
      <w:r>
        <w:t xml:space="preserve">These defaults are placeholders for discussion. The substantive point is that they should be set once for the diagnostic product, applied across all country reports, and updated annually. Country teams can deviate with explicit justification, but the default applies otherwise.</w:t>
      </w:r>
    </w:p>
    <w:bookmarkEnd w:id="80"/>
    <w:bookmarkEnd w:id="81"/>
    <w:bookmarkStart w:id="95" w:name="b6.-worked-example-a-draft-tier-2-report"/>
    <w:p>
      <w:pPr>
        <w:pStyle w:val="Heading1"/>
      </w:pPr>
      <w:r>
        <w:t xml:space="preserve">B6. Worked example: a draft Tier 2 report</w:t>
      </w:r>
    </w:p>
    <w:p>
      <w:pPr>
        <w:pStyle w:val="FirstParagraph"/>
      </w:pPr>
      <w:r>
        <w:t xml:space="preserve">The remainder of this section illustrates what a complete Tier 2 report would look like, using a stylised East African LIC for concreteness. The country is fictitious but the parameters are realistic. The example is meant to show the shape and length of the deliverable rather than to make claims about any actual country. A real report would substitute country-specific data and reference its sources explicitly.</w:t>
      </w:r>
    </w:p>
    <w:p>
      <w:pPr>
        <w:pStyle w:val="BodyText"/>
      </w:pPr>
      <w:r>
        <w:t xml:space="preserve">The example below covers the seven-section spine. Tier 1 reports would run thirty to forty pages with the same architecture; the additional length comes from country-specific elasticities, vintage modelling, and an active-travel benefits sub-section.</w:t>
      </w:r>
    </w:p>
    <w:bookmarkStart w:id="82" w:name="b6.1-section-1-tax-baseline-and-revenue"/>
    <w:p>
      <w:pPr>
        <w:pStyle w:val="Heading3"/>
      </w:pPr>
      <w:r>
        <w:t xml:space="preserve">B6.1 Section 1 — Tax baseline and revenue</w:t>
      </w:r>
    </w:p>
    <w:p>
      <w:pPr>
        <w:pStyle w:val="FirstParagraph"/>
      </w:pPr>
      <w:r>
        <w:t xml:space="preserve">Country X levies a specific excise of USD 0.18 per litre on gasoline and USD 0.10 per litre on diesel, plus a road-maintenance levy of USD 0.05 per litre on both fuels and a value-added tax of 18 per cent applied to the post-excise price. Kerosene is untaxed and partially subsidised through wholesale-price intervention. Liquefied petroleum gas is zero-rated for VAT. Vehicle taxes consist of import duty (25 per cent for new passenger vehicles, 35 per cent for vehicles older than eight years), an annual circulation fee of USD 30 to USD 200 by engine size, and a one-time first-registration fee.</w:t>
      </w:r>
    </w:p>
    <w:p>
      <w:pPr>
        <w:pStyle w:val="BodyText"/>
      </w:pPr>
      <w:r>
        <w:t xml:space="preserve">Total fuel-related tax revenue was approximately USD 320 million in 2024, equivalent to 1.4 per cent of GDP and 7 per cent of total tax revenue. Vehicle-related taxes raised an additional USD 95 million.</w:t>
      </w:r>
    </w:p>
    <w:p>
      <w:pPr>
        <w:pStyle w:val="BodyText"/>
      </w:pPr>
      <w:r>
        <w:t xml:space="preserve">Implicit subsidies, computed using the IMF post-tax methodology and a USD 75 per tonne carbon price, amount to USD 410 million annually — that is, the undercharging of external costs exceeds direct fuel-tax revenue. The largest implicit-subsidy components are local air pollution (43 per cent of the total) and accidents (31 per cent).</w:t>
      </w:r>
    </w:p>
    <w:bookmarkEnd w:id="82"/>
    <w:bookmarkStart w:id="89" w:name="b6.2-section-2-externality-estimates"/>
    <w:p>
      <w:pPr>
        <w:pStyle w:val="Heading3"/>
      </w:pPr>
      <w:r>
        <w:t xml:space="preserve">B6.2 Section 2 — Externality estimates</w:t>
      </w:r>
    </w:p>
    <w:bookmarkStart w:id="83" w:name="carbon"/>
    <w:p>
      <w:pPr>
        <w:pStyle w:val="Heading4"/>
      </w:pPr>
      <w:r>
        <w:t xml:space="preserve">Carbon</w:t>
      </w:r>
    </w:p>
    <w:p>
      <w:pPr>
        <w:pStyle w:val="FirstParagraph"/>
      </w:pPr>
      <w:r>
        <w:t xml:space="preserve">Gasoline combustion emits approximately 2.3 kgCO2 per litre; diesel emits 2.7 kgCO2 per litre. At a USD 75 per tonne carbon shadow price, the carbon externality is USD 0.17 per litre of gasoline and USD 0.20 per litre of diesel. Sensitivity range across USD 50 to USD 150 per tonne is USD 0.12 to USD 0.35 per litre.</w:t>
      </w:r>
    </w:p>
    <w:bookmarkEnd w:id="83"/>
    <w:bookmarkStart w:id="84" w:name="local-air-pollution"/>
    <w:p>
      <w:pPr>
        <w:pStyle w:val="Heading4"/>
      </w:pPr>
      <w:r>
        <w:t xml:space="preserve">Local air pollution</w:t>
      </w:r>
    </w:p>
    <w:p>
      <w:pPr>
        <w:pStyle w:val="FirstParagraph"/>
      </w:pPr>
      <w:r>
        <w:t xml:space="preserve">Climate and Health Program estimates attribute approximately 8,400 premature deaths annually to ambient PM2.5 in Country X, of which transport sources contribute an estimated 28 per cent. At an income-transferred VSL of USD 0.45 million (computed from the OECD baseline of USD 4.7 million and Country X GNI per capita using a transfer elasticity of 1.0), the transport-attributable PM2.5 mortality cost is approximately USD 1,060 million annually.</w:t>
      </w:r>
    </w:p>
    <w:p>
      <w:pPr>
        <w:pStyle w:val="BodyText"/>
      </w:pPr>
      <w:r>
        <w:t xml:space="preserve">Allocated across diesel and gasoline consumption by emission factor and fuel volume, this implies USD 0.42 per litre of diesel and USD 0.09 per litre of gasoline. The diesel figure is large because diesel emits substantially more PM2.5 per litre than gasoline and is concentrated in urban areas. Sensitivity range, accounting for VSL and CRF uncertainty, is USD 0.25 to USD 0.65 per litre of diesel.</w:t>
      </w:r>
    </w:p>
    <w:bookmarkEnd w:id="84"/>
    <w:bookmarkStart w:id="85" w:name="accidents"/>
    <w:p>
      <w:pPr>
        <w:pStyle w:val="Heading4"/>
      </w:pPr>
      <w:r>
        <w:t xml:space="preserve">Accidents</w:t>
      </w:r>
    </w:p>
    <w:p>
      <w:pPr>
        <w:pStyle w:val="FirstParagraph"/>
      </w:pPr>
      <w:r>
        <w:t xml:space="preserve">WHO Global Status Report estimates road-traffic mortality in Country X at 27 deaths per 100,000 population, with pedestrians accounting for 47 per cent of fatalities. Annual road deaths are approximately 14,000. Total external accident cost — applying VSL and a morbidity multiplier of 1.5 — is approximately USD 9.5 billion.</w:t>
      </w:r>
    </w:p>
    <w:p>
      <w:pPr>
        <w:pStyle w:val="BodyText"/>
      </w:pPr>
      <w:r>
        <w:t xml:space="preserve">Allocated to per-litre fuel cost using the standard methodology, the accident externality is approximately USD 0.28 per litre of gasoline and USD 0.31 per litre of diesel. The high pedestrian-fatality share, characteristic of LICs, makes accident externalities a larger component of the total than in OECD applications. Sensitivity range is USD 0.18 to USD 0.45 per litre.</w:t>
      </w:r>
    </w:p>
    <w:bookmarkEnd w:id="85"/>
    <w:bookmarkStart w:id="86" w:name="congestion"/>
    <w:p>
      <w:pPr>
        <w:pStyle w:val="Heading4"/>
      </w:pPr>
      <w:r>
        <w:t xml:space="preserve">Congestion</w:t>
      </w:r>
    </w:p>
    <w:p>
      <w:pPr>
        <w:pStyle w:val="FirstParagraph"/>
      </w:pPr>
      <w:r>
        <w:t xml:space="preserve">Estimated for the primary city only. Comparator-based extrapolation from Nairobi and Addis Ababa suggests an average congestion externality of USD 0.08 per litre of fuel consumed in the capital, weighted by the capital share of national fuel consumption (approximately 35 per cent). The national-average congestion externality is therefore USD 0.03 per litre. This is a low-confidence estimate and should be reported as such.</w:t>
      </w:r>
    </w:p>
    <w:bookmarkEnd w:id="86"/>
    <w:bookmarkStart w:id="87" w:name="road-damage"/>
    <w:p>
      <w:pPr>
        <w:pStyle w:val="Heading4"/>
      </w:pPr>
      <w:r>
        <w:t xml:space="preserve">Road damage</w:t>
      </w:r>
    </w:p>
    <w:p>
      <w:pPr>
        <w:pStyle w:val="FirstParagraph"/>
      </w:pPr>
      <w:r>
        <w:t xml:space="preserve">Concentrated in heavy goods vehicles. Estimated at USD 0.04 per litre of diesel and negligible for gasoline.</w:t>
      </w:r>
    </w:p>
    <w:bookmarkEnd w:id="87"/>
    <w:bookmarkStart w:id="88" w:name="X9ec36e2ac34a3bdacabd67fab9ef8b91dd6f120"/>
    <w:p>
      <w:pPr>
        <w:pStyle w:val="Heading4"/>
      </w:pPr>
      <w:r>
        <w:t xml:space="preserve">The biggest externality not currently priced</w:t>
      </w:r>
    </w:p>
    <w:p>
      <w:pPr>
        <w:pStyle w:val="FirstParagraph"/>
      </w:pPr>
      <w:r>
        <w:t xml:space="preserve">For Country X, the answer is local air pollution from diesel: approximately USD 0.42 per litre against a current effective rate that does not reflect it. The accident externality on both fuels is the second-largest gap. The carbon externality is third, despite being the dimension most frequently discussed in public debate. This ranking matters for Part C: it identifies where the reform pathway should focus first.</w:t>
      </w:r>
    </w:p>
    <w:bookmarkEnd w:id="88"/>
    <w:bookmarkEnd w:id="89"/>
    <w:bookmarkStart w:id="90" w:name="b6.3-section-3-optimal-corrective-rate"/>
    <w:p>
      <w:pPr>
        <w:pStyle w:val="Heading3"/>
      </w:pPr>
      <w:r>
        <w:t xml:space="preserve">B6.3 Section 3 — Optimal corrective rate</w:t>
      </w:r>
    </w:p>
    <w:p>
      <w:pPr>
        <w:pStyle w:val="FirstParagraph"/>
      </w:pPr>
      <w:r>
        <w:t xml:space="preserve">Summing the externality components yields a naive Pigouvian rate of approximately USD 0.57 per litre of gasoline and USD 0.97 per litre of diesel. Adjusting for the mileage-share elasticity decomposition (default 0.5) gives second-best corrective rates of approximately USD 0.39 per litre of gasoline and USD 0.65 per litre of diesel.</w:t>
      </w:r>
    </w:p>
    <w:tbl>
      <w:tblPr>
        <w:tblStyle w:val="Table"/>
        <w:tblW w:type="pct" w:w="4915"/>
        <w:tblLayout w:type="fixed"/>
        <w:tblLook w:firstRow="1" w:lastRow="0" w:firstColumn="0" w:lastColumn="0" w:noHBand="0" w:noVBand="0" w:val="0020"/>
      </w:tblPr>
      <w:tblGrid>
        <w:gridCol w:w="2013"/>
        <w:gridCol w:w="1543"/>
        <w:gridCol w:w="1409"/>
        <w:gridCol w:w="1409"/>
        <w:gridCol w:w="1409"/>
      </w:tblGrid>
      <w:tr>
        <w:trPr>
          <w:tblHeader w:val="on"/>
        </w:trPr>
        <w:tc>
          <w:tcPr/>
          <w:p>
            <w:pPr>
              <w:pStyle w:val="Compact"/>
              <w:jc w:val="left"/>
            </w:pPr>
            <w:r>
              <w:rPr>
                <w:b/>
                <w:bCs/>
              </w:rPr>
              <w:t xml:space="preserve">Component (USD / litre)</w:t>
            </w:r>
          </w:p>
        </w:tc>
        <w:tc>
          <w:tcPr/>
          <w:p>
            <w:pPr>
              <w:pStyle w:val="Compact"/>
              <w:jc w:val="left"/>
            </w:pPr>
            <w:r>
              <w:rPr>
                <w:b/>
                <w:bCs/>
              </w:rPr>
              <w:t xml:space="preserve">Gasoline central</w:t>
            </w:r>
          </w:p>
        </w:tc>
        <w:tc>
          <w:tcPr/>
          <w:p>
            <w:pPr>
              <w:pStyle w:val="Compact"/>
              <w:jc w:val="left"/>
            </w:pPr>
            <w:r>
              <w:rPr>
                <w:b/>
                <w:bCs/>
              </w:rPr>
              <w:t xml:space="preserve">Gasoline range</w:t>
            </w:r>
          </w:p>
        </w:tc>
        <w:tc>
          <w:tcPr/>
          <w:p>
            <w:pPr>
              <w:pStyle w:val="Compact"/>
              <w:jc w:val="left"/>
            </w:pPr>
            <w:r>
              <w:rPr>
                <w:b/>
                <w:bCs/>
              </w:rPr>
              <w:t xml:space="preserve">Diesel central</w:t>
            </w:r>
          </w:p>
        </w:tc>
        <w:tc>
          <w:tcPr/>
          <w:p>
            <w:pPr>
              <w:pStyle w:val="Compact"/>
              <w:jc w:val="left"/>
            </w:pPr>
            <w:r>
              <w:rPr>
                <w:b/>
                <w:bCs/>
              </w:rPr>
              <w:t xml:space="preserve">Diesel range</w:t>
            </w:r>
          </w:p>
        </w:tc>
      </w:tr>
      <w:tr>
        <w:tc>
          <w:tcPr/>
          <w:p>
            <w:pPr>
              <w:pStyle w:val="Compact"/>
              <w:jc w:val="left"/>
            </w:pPr>
            <w:r>
              <w:rPr>
                <w:b/>
                <w:bCs/>
              </w:rPr>
              <w:t xml:space="preserve">Carbon</w:t>
            </w:r>
          </w:p>
        </w:tc>
        <w:tc>
          <w:tcPr/>
          <w:p>
            <w:pPr>
              <w:pStyle w:val="Compact"/>
              <w:jc w:val="left"/>
            </w:pPr>
            <w:r>
              <w:t xml:space="preserve">0.17</w:t>
            </w:r>
          </w:p>
        </w:tc>
        <w:tc>
          <w:tcPr/>
          <w:p>
            <w:pPr>
              <w:pStyle w:val="Compact"/>
              <w:jc w:val="left"/>
            </w:pPr>
            <w:r>
              <w:t xml:space="preserve">0.12–0.35</w:t>
            </w:r>
          </w:p>
        </w:tc>
        <w:tc>
          <w:tcPr/>
          <w:p>
            <w:pPr>
              <w:pStyle w:val="Compact"/>
              <w:jc w:val="left"/>
            </w:pPr>
            <w:r>
              <w:t xml:space="preserve">0.20</w:t>
            </w:r>
          </w:p>
        </w:tc>
        <w:tc>
          <w:tcPr/>
          <w:p>
            <w:pPr>
              <w:pStyle w:val="Compact"/>
              <w:jc w:val="left"/>
            </w:pPr>
            <w:r>
              <w:t xml:space="preserve">0.14–0.41</w:t>
            </w:r>
          </w:p>
        </w:tc>
      </w:tr>
      <w:tr>
        <w:tc>
          <w:tcPr/>
          <w:p>
            <w:pPr>
              <w:pStyle w:val="Compact"/>
              <w:jc w:val="left"/>
            </w:pPr>
            <w:r>
              <w:rPr>
                <w:b/>
                <w:bCs/>
              </w:rPr>
              <w:t xml:space="preserve">Air pollution</w:t>
            </w:r>
          </w:p>
        </w:tc>
        <w:tc>
          <w:tcPr/>
          <w:p>
            <w:pPr>
              <w:pStyle w:val="Compact"/>
              <w:jc w:val="left"/>
            </w:pPr>
            <w:r>
              <w:t xml:space="preserve">0.09</w:t>
            </w:r>
          </w:p>
        </w:tc>
        <w:tc>
          <w:tcPr/>
          <w:p>
            <w:pPr>
              <w:pStyle w:val="Compact"/>
              <w:jc w:val="left"/>
            </w:pPr>
            <w:r>
              <w:t xml:space="preserve">0.05–0.14</w:t>
            </w:r>
          </w:p>
        </w:tc>
        <w:tc>
          <w:tcPr/>
          <w:p>
            <w:pPr>
              <w:pStyle w:val="Compact"/>
              <w:jc w:val="left"/>
            </w:pPr>
            <w:r>
              <w:t xml:space="preserve">0.42</w:t>
            </w:r>
          </w:p>
        </w:tc>
        <w:tc>
          <w:tcPr/>
          <w:p>
            <w:pPr>
              <w:pStyle w:val="Compact"/>
              <w:jc w:val="left"/>
            </w:pPr>
            <w:r>
              <w:t xml:space="preserve">0.25–0.65</w:t>
            </w:r>
          </w:p>
        </w:tc>
      </w:tr>
      <w:tr>
        <w:tc>
          <w:tcPr/>
          <w:p>
            <w:pPr>
              <w:pStyle w:val="Compact"/>
              <w:jc w:val="left"/>
            </w:pPr>
            <w:r>
              <w:rPr>
                <w:b/>
                <w:bCs/>
              </w:rPr>
              <w:t xml:space="preserve">Accidents</w:t>
            </w:r>
          </w:p>
        </w:tc>
        <w:tc>
          <w:tcPr/>
          <w:p>
            <w:pPr>
              <w:pStyle w:val="Compact"/>
              <w:jc w:val="left"/>
            </w:pPr>
            <w:r>
              <w:t xml:space="preserve">0.28</w:t>
            </w:r>
          </w:p>
        </w:tc>
        <w:tc>
          <w:tcPr/>
          <w:p>
            <w:pPr>
              <w:pStyle w:val="Compact"/>
              <w:jc w:val="left"/>
            </w:pPr>
            <w:r>
              <w:t xml:space="preserve">0.18–0.45</w:t>
            </w:r>
          </w:p>
        </w:tc>
        <w:tc>
          <w:tcPr/>
          <w:p>
            <w:pPr>
              <w:pStyle w:val="Compact"/>
              <w:jc w:val="left"/>
            </w:pPr>
            <w:r>
              <w:t xml:space="preserve">0.31</w:t>
            </w:r>
          </w:p>
        </w:tc>
        <w:tc>
          <w:tcPr/>
          <w:p>
            <w:pPr>
              <w:pStyle w:val="Compact"/>
              <w:jc w:val="left"/>
            </w:pPr>
            <w:r>
              <w:t xml:space="preserve">0.20–0.50</w:t>
            </w:r>
          </w:p>
        </w:tc>
      </w:tr>
      <w:tr>
        <w:tc>
          <w:tcPr/>
          <w:p>
            <w:pPr>
              <w:pStyle w:val="Compact"/>
              <w:jc w:val="left"/>
            </w:pPr>
            <w:r>
              <w:rPr>
                <w:b/>
                <w:bCs/>
              </w:rPr>
              <w:t xml:space="preserve">Congestion</w:t>
            </w:r>
          </w:p>
        </w:tc>
        <w:tc>
          <w:tcPr/>
          <w:p>
            <w:pPr>
              <w:pStyle w:val="Compact"/>
              <w:jc w:val="left"/>
            </w:pPr>
            <w:r>
              <w:t xml:space="preserve">0.03</w:t>
            </w:r>
          </w:p>
        </w:tc>
        <w:tc>
          <w:tcPr/>
          <w:p>
            <w:pPr>
              <w:pStyle w:val="Compact"/>
              <w:jc w:val="left"/>
            </w:pPr>
            <w:r>
              <w:t xml:space="preserve">0.01–0.06</w:t>
            </w:r>
          </w:p>
        </w:tc>
        <w:tc>
          <w:tcPr/>
          <w:p>
            <w:pPr>
              <w:pStyle w:val="Compact"/>
              <w:jc w:val="left"/>
            </w:pPr>
            <w:r>
              <w:t xml:space="preserve">0.03</w:t>
            </w:r>
          </w:p>
        </w:tc>
        <w:tc>
          <w:tcPr/>
          <w:p>
            <w:pPr>
              <w:pStyle w:val="Compact"/>
              <w:jc w:val="left"/>
            </w:pPr>
            <w:r>
              <w:t xml:space="preserve">0.01–0.06</w:t>
            </w:r>
          </w:p>
        </w:tc>
      </w:tr>
      <w:tr>
        <w:tc>
          <w:tcPr/>
          <w:p>
            <w:pPr>
              <w:pStyle w:val="Compact"/>
              <w:jc w:val="left"/>
            </w:pPr>
            <w:r>
              <w:rPr>
                <w:b/>
                <w:bCs/>
              </w:rPr>
              <w:t xml:space="preserve">Road damage</w:t>
            </w:r>
          </w:p>
        </w:tc>
        <w:tc>
          <w:tcPr/>
          <w:p>
            <w:pPr>
              <w:pStyle w:val="Compact"/>
              <w:jc w:val="left"/>
            </w:pPr>
            <w:r>
              <w:t xml:space="preserve">0.00</w:t>
            </w:r>
          </w:p>
        </w:tc>
        <w:tc>
          <w:tcPr/>
          <w:p>
            <w:pPr>
              <w:pStyle w:val="Compact"/>
              <w:jc w:val="left"/>
            </w:pPr>
            <w:r>
              <w:t xml:space="preserve">0.00–0.01</w:t>
            </w:r>
          </w:p>
        </w:tc>
        <w:tc>
          <w:tcPr/>
          <w:p>
            <w:pPr>
              <w:pStyle w:val="Compact"/>
              <w:jc w:val="left"/>
            </w:pPr>
            <w:r>
              <w:t xml:space="preserve">0.04</w:t>
            </w:r>
          </w:p>
        </w:tc>
        <w:tc>
          <w:tcPr/>
          <w:p>
            <w:pPr>
              <w:pStyle w:val="Compact"/>
              <w:jc w:val="left"/>
            </w:pPr>
            <w:r>
              <w:t xml:space="preserve">0.02–0.06</w:t>
            </w:r>
          </w:p>
        </w:tc>
      </w:tr>
      <w:tr>
        <w:tc>
          <w:tcPr/>
          <w:p>
            <w:pPr>
              <w:pStyle w:val="Compact"/>
              <w:jc w:val="left"/>
            </w:pPr>
            <w:r>
              <w:rPr>
                <w:b/>
                <w:bCs/>
              </w:rPr>
              <w:t xml:space="preserve">Naive sum</w:t>
            </w:r>
          </w:p>
        </w:tc>
        <w:tc>
          <w:tcPr/>
          <w:p>
            <w:pPr>
              <w:pStyle w:val="Compact"/>
              <w:jc w:val="left"/>
            </w:pPr>
            <w:r>
              <w:t xml:space="preserve">0.57</w:t>
            </w:r>
          </w:p>
        </w:tc>
        <w:tc>
          <w:tcPr/>
          <w:p>
            <w:pPr>
              <w:pStyle w:val="Compact"/>
              <w:jc w:val="left"/>
            </w:pPr>
            <w:r>
              <w:t xml:space="preserve">0.36–1.01</w:t>
            </w:r>
          </w:p>
        </w:tc>
        <w:tc>
          <w:tcPr/>
          <w:p>
            <w:pPr>
              <w:pStyle w:val="Compact"/>
              <w:jc w:val="left"/>
            </w:pPr>
            <w:r>
              <w:t xml:space="preserve">0.97</w:t>
            </w:r>
          </w:p>
        </w:tc>
        <w:tc>
          <w:tcPr/>
          <w:p>
            <w:pPr>
              <w:pStyle w:val="Compact"/>
              <w:jc w:val="left"/>
            </w:pPr>
            <w:r>
              <w:t xml:space="preserve">0.62–1.68</w:t>
            </w:r>
          </w:p>
        </w:tc>
      </w:tr>
      <w:tr>
        <w:tc>
          <w:tcPr/>
          <w:p>
            <w:pPr>
              <w:pStyle w:val="Compact"/>
              <w:jc w:val="left"/>
            </w:pPr>
            <w:r>
              <w:rPr>
                <w:b/>
                <w:bCs/>
              </w:rPr>
              <w:t xml:space="preserve">Second-best</w:t>
            </w:r>
          </w:p>
        </w:tc>
        <w:tc>
          <w:tcPr/>
          <w:p>
            <w:pPr>
              <w:pStyle w:val="Compact"/>
              <w:jc w:val="left"/>
            </w:pPr>
            <w:r>
              <w:t xml:space="preserve">0.39</w:t>
            </w:r>
          </w:p>
        </w:tc>
        <w:tc>
          <w:tcPr/>
          <w:p>
            <w:pPr>
              <w:pStyle w:val="Compact"/>
              <w:jc w:val="left"/>
            </w:pPr>
            <w:r>
              <w:t xml:space="preserve">0.25–0.70</w:t>
            </w:r>
          </w:p>
        </w:tc>
        <w:tc>
          <w:tcPr/>
          <w:p>
            <w:pPr>
              <w:pStyle w:val="Compact"/>
              <w:jc w:val="left"/>
            </w:pPr>
            <w:r>
              <w:t xml:space="preserve">0.65</w:t>
            </w:r>
          </w:p>
        </w:tc>
        <w:tc>
          <w:tcPr/>
          <w:p>
            <w:pPr>
              <w:pStyle w:val="Compact"/>
              <w:jc w:val="left"/>
            </w:pPr>
            <w:r>
              <w:t xml:space="preserve">0.42–1.15</w:t>
            </w:r>
          </w:p>
        </w:tc>
      </w:tr>
    </w:tbl>
    <w:bookmarkEnd w:id="90"/>
    <w:bookmarkStart w:id="91" w:name="b6.4-section-4-gap-analysis"/>
    <w:p>
      <w:pPr>
        <w:pStyle w:val="Heading3"/>
      </w:pPr>
      <w:r>
        <w:t xml:space="preserve">B6.4 Section 4 — Gap analysis</w:t>
      </w:r>
    </w:p>
    <w:p>
      <w:pPr>
        <w:pStyle w:val="FirstParagraph"/>
      </w:pPr>
      <w:r>
        <w:t xml:space="preserve">Current effective rates are USD 0.23 per litre on gasoline and USD 0.15 per litre on diesel. Gaps versus the second-best corrective rate are USD 0.16 per litre for gasoline and USD 0.50 per litre for diesel. Diesel is the much larger problem, driven primarily by air pollution and accidents.</w:t>
      </w:r>
    </w:p>
    <w:p>
      <w:pPr>
        <w:pStyle w:val="BodyText"/>
      </w:pPr>
      <w:r>
        <w:t xml:space="preserve">This is a familiar pattern in developing-country settings: gasoline is roughly correctly taxed; diesel is substantially undertaxed. The gap is not a curiosity but a direct fiscal-and-health argument for diesel-tax reform.</w:t>
      </w:r>
    </w:p>
    <w:p>
      <w:pPr>
        <w:pStyle w:val="BodyText"/>
      </w:pPr>
      <w:r>
        <w:t xml:space="preserve">Closing the gap on diesel by USD 0.50 per litre would raise approximately USD 230 million annually — increasing total fuel-tax revenue by 70 per cent and approaching 1 per cent of GDP. The implicit-subsidy welfare gain would be larger still, since avoided health and accident costs accrue independently of revenue.</w:t>
      </w:r>
    </w:p>
    <w:bookmarkEnd w:id="91"/>
    <w:bookmarkStart w:id="92" w:name="b6.5-section-5-distributional-incidence"/>
    <w:p>
      <w:pPr>
        <w:pStyle w:val="Heading3"/>
      </w:pPr>
      <w:r>
        <w:t xml:space="preserve">B6.5 Section 5 — Distributional incidence</w:t>
      </w:r>
    </w:p>
    <w:p>
      <w:pPr>
        <w:pStyle w:val="FirstParagraph"/>
      </w:pPr>
      <w:r>
        <w:t xml:space="preserve">CPAT incidence analysis (drawing on Country X 2019 Household Budget Survey) shows that direct fuel-tax incidence is mildly progressive on gasoline (richer households spend a higher share of total expenditure on private motoring) and approximately neutral on diesel (heavily mediated through public transport fares and goods prices). The combined incidence of a USD 0.50 per litre diesel-tax increase, before recycling, is regressive by 0.7 percentage points of expenditure between the bottom and top quintile.</w:t>
      </w:r>
    </w:p>
    <w:p>
      <w:pPr>
        <w:pStyle w:val="BodyText"/>
      </w:pPr>
      <w:r>
        <w:t xml:space="preserve">Three of four standard recycling options reverse the regressivity: a flat per-household transfer financed by 30 per cent of the new revenue produces a net-progressive package; a doubled targeted social-protection transfer to bottom-quintile households produces a strongly progressive package; reductions in payroll tax produce a roughly distribution-neutral package; reductions in VAT produce a marginally regressive package.</w:t>
      </w:r>
    </w:p>
    <w:bookmarkEnd w:id="92"/>
    <w:bookmarkStart w:id="93" w:name="X503316552ae9beb9b7e8b2cce67cfa903136805"/>
    <w:p>
      <w:pPr>
        <w:pStyle w:val="Heading3"/>
      </w:pPr>
      <w:r>
        <w:t xml:space="preserve">B6.6 Section 6 — International norm comparator</w:t>
      </w:r>
    </w:p>
    <w:p>
      <w:pPr>
        <w:pStyle w:val="FirstParagraph"/>
      </w:pPr>
      <w:r>
        <w:t xml:space="preserve">Country X effective fuel tax rates are below the East African Community average and well below sub-Saharan African LMIC averages. The OECD effective carbon rate on gasoline (USD 74 per tonne) and diesel (USD 56 per tonne) place Country X in the bottom quartile globally. CBAM exposure is currently low because Country X exports are largely agricultural; this will change if cement or fertiliser exports expand.</w:t>
      </w:r>
    </w:p>
    <w:p>
      <w:pPr>
        <w:pStyle w:val="BodyText"/>
      </w:pPr>
      <w:r>
        <w:t xml:space="preserve">Comparable LICs that have raised diesel tax over the past decade (Rwanda, Ghana, Kenya in steps) have done so without the macroeconomic disruption commonly feared, particularly when reform was sequenced with targeted social protection. Country X has more fiscal space for reform than the political debate currently assumes.</w:t>
      </w:r>
    </w:p>
    <w:bookmarkEnd w:id="93"/>
    <w:bookmarkStart w:id="94" w:name="Xd5fdf60188e395d19a85c65d02f44a046851f91"/>
    <w:p>
      <w:pPr>
        <w:pStyle w:val="Heading3"/>
      </w:pPr>
      <w:r>
        <w:t xml:space="preserve">B6.7 Section 7 — Reform pathway (handed to Part C)</w:t>
      </w:r>
    </w:p>
    <w:p>
      <w:pPr>
        <w:pStyle w:val="FirstParagraph"/>
      </w:pPr>
      <w:r>
        <w:t xml:space="preserve">In a standalone FVTD report, Section 7 would conclude with a sequenced reform package. In the combined three-part diagnostic, Section 7 is migrated upward into Part C, where it is integrated with the Part A reform candidates, comparator-country experience, and political-economy analysis. A summary appears here for completeness; the full pathway is set out in Part C.</w:t>
      </w:r>
    </w:p>
    <w:p>
      <w:pPr>
        <w:numPr>
          <w:ilvl w:val="0"/>
          <w:numId w:val="1008"/>
        </w:numPr>
      </w:pPr>
      <w:r>
        <w:rPr>
          <w:b/>
          <w:bCs/>
        </w:rPr>
        <w:t xml:space="preserve">Year 1:</w:t>
      </w:r>
      <w:r>
        <w:t xml:space="preserve"> </w:t>
      </w:r>
      <w:r>
        <w:t xml:space="preserve">USD 0.15 per litre diesel excise increase. Revenue use: 30 per cent into a flat per-household transfer through existing social-protection channels; 70 per cent to general revenue. Communications campaign emphasising the health and road-safety justification, not the climate justification, which polls poorly in Country X.</w:t>
      </w:r>
    </w:p>
    <w:p>
      <w:pPr>
        <w:numPr>
          <w:ilvl w:val="0"/>
          <w:numId w:val="1008"/>
        </w:numPr>
      </w:pPr>
      <w:r>
        <w:rPr>
          <w:b/>
          <w:bCs/>
        </w:rPr>
        <w:t xml:space="preserve">Year 2:</w:t>
      </w:r>
      <w:r>
        <w:t xml:space="preserve"> </w:t>
      </w:r>
      <w:r>
        <w:t xml:space="preserve">Further USD 0.15 per litre diesel increase. Convert the per-household transfer into a permanent indexed component of the social safety net. Introduce a feebate on imported vehicles based on emissions and weight to begin addressing fleet composition without a Gruenspecht effect.</w:t>
      </w:r>
    </w:p>
    <w:p>
      <w:pPr>
        <w:numPr>
          <w:ilvl w:val="0"/>
          <w:numId w:val="1008"/>
        </w:numPr>
      </w:pPr>
      <w:r>
        <w:rPr>
          <w:b/>
          <w:bCs/>
        </w:rPr>
        <w:t xml:space="preserve">Year 3:</w:t>
      </w:r>
      <w:r>
        <w:t xml:space="preserve"> </w:t>
      </w:r>
      <w:r>
        <w:t xml:space="preserve">Final USD 0.20 per litre diesel increase, closing roughly two-thirds of the original gap. Begin scoping a distance-based heavy-goods-vehicle charge to address the road-damage and accident externalities that fuel tax addresses imperfectly. Update the diagnostic at this point with new exposure and accident data.</w:t>
      </w:r>
    </w:p>
    <w:p>
      <w:pPr>
        <w:pStyle w:val="FirstParagraph"/>
      </w:pPr>
      <w:r>
        <w:t xml:space="preserve">The package raises an estimated additional USD 230 million in annual revenue at full implementation, leaves the bottom quintile better off in net terms, and approximately halves the implicit-subsidy gap. It does not close the gap entirely; full closure would require complementary instruments beyond fuel taxation.</w:t>
      </w:r>
    </w:p>
    <w:p>
      <w:pPr>
        <w:pStyle w:val="BodyText"/>
      </w:pPr>
      <w:r>
        <w:t xml:space="preserve">****</w:t>
      </w:r>
    </w:p>
    <w:p>
      <w:pPr>
        <w:pStyle w:val="BodyText"/>
      </w:pPr>
      <w:r>
        <w:rPr>
          <w:b/>
          <w:bCs/>
        </w:rPr>
        <w:t xml:space="preserve">PART C</w:t>
      </w:r>
    </w:p>
    <w:p>
      <w:pPr>
        <w:pStyle w:val="BodyText"/>
      </w:pPr>
      <w:r>
        <w:rPr>
          <w:b/>
          <w:bCs/>
        </w:rPr>
        <w:t xml:space="preserve">Policy Pathways</w:t>
      </w:r>
    </w:p>
    <w:p>
      <w:pPr>
        <w:pStyle w:val="BodyText"/>
      </w:pPr>
      <w:r>
        <w:rPr>
          <w:i/>
          <w:iCs/>
        </w:rPr>
        <w:t xml:space="preserve">Existing proposals, success stories, narrative political-economy analysis, and a sequenced reform package</w:t>
      </w:r>
    </w:p>
    <w:bookmarkEnd w:id="94"/>
    <w:bookmarkEnd w:id="95"/>
    <w:bookmarkStart w:id="97" w:name="c1.-purpose-and-structure"/>
    <w:p>
      <w:pPr>
        <w:pStyle w:val="Heading1"/>
      </w:pPr>
      <w:r>
        <w:t xml:space="preserve">C1. Purpose and structure</w:t>
      </w:r>
    </w:p>
    <w:p>
      <w:pPr>
        <w:pStyle w:val="FirstParagraph"/>
      </w:pPr>
      <w:r>
        <w:t xml:space="preserve">Parts A and B both produce lists of policy candidates. Part A reads them off the schedule — erosion patterns, gaps relative to peer countries, structural anomalies, rate inversions. Part B reads them off the externality estimates — the largest gap between damage and current effective rate, by fuel and by externality category. Neither part sequences candidates, references comparator experience, or accounts for political tractability. Part C does.</w:t>
      </w:r>
    </w:p>
    <w:p>
      <w:pPr>
        <w:pStyle w:val="BodyText"/>
      </w:pPr>
      <w:r>
        <w:t xml:space="preserve">Part C draws on five inputs: (i) the structural anomalies, gaps and erosion patterns surfaced by Part A; (ii) the externality-gap and incidence findings from Part B; (iii) international benchmarks and IMF Getting Energy Prices Right comparators; (iv) comparator-country success stories; and (v) a narrative political-economy analysis. The substantive findings of Parts A and B are not repeated here. Where Part C refers to a finding it does so by reference; the underlying analysis lives in the relevant earlier section.</w:t>
      </w:r>
    </w:p>
    <w:p>
      <w:pPr>
        <w:pStyle w:val="BodyText"/>
      </w:pPr>
      <w:r>
        <w:t xml:space="preserve">The remainder of this Part is organised in five sections.</w:t>
      </w:r>
    </w:p>
    <w:p>
      <w:pPr>
        <w:numPr>
          <w:ilvl w:val="0"/>
          <w:numId w:val="1009"/>
        </w:numPr>
      </w:pPr>
      <w:r>
        <w:t xml:space="preserve">C2 — Existing proposals. The IMF baseline benchmarks and a structured summary of the Part A and Part B reform candidates.</w:t>
      </w:r>
    </w:p>
    <w:p>
      <w:pPr>
        <w:numPr>
          <w:ilvl w:val="0"/>
          <w:numId w:val="1009"/>
        </w:numPr>
      </w:pPr>
      <w:r>
        <w:t xml:space="preserve">C3 — Success stories. Comparator countries that have sequenced similar reforms without macroeconomic disruption.</w:t>
      </w:r>
    </w:p>
    <w:p>
      <w:pPr>
        <w:numPr>
          <w:ilvl w:val="0"/>
          <w:numId w:val="1009"/>
        </w:numPr>
      </w:pPr>
      <w:r>
        <w:t xml:space="preserve">C4 — Narrative political-economy analysis. Which reforms are politically tractable in which conditions, why, and with what compensation design.</w:t>
      </w:r>
    </w:p>
    <w:p>
      <w:pPr>
        <w:numPr>
          <w:ilvl w:val="0"/>
          <w:numId w:val="1009"/>
        </w:numPr>
      </w:pPr>
      <w:r>
        <w:t xml:space="preserve">C5 — A sequenced reform pathway. A three-year package combining Part A and Part B candidates, ordered by tractability and yield.</w:t>
      </w:r>
    </w:p>
    <w:p>
      <w:pPr>
        <w:numPr>
          <w:ilvl w:val="0"/>
          <w:numId w:val="1009"/>
        </w:numPr>
      </w:pPr>
      <w:r>
        <w:t xml:space="preserve">C6 — Conclusion.</w:t>
      </w:r>
    </w:p>
    <w:bookmarkStart w:id="96" w:name="key-questions-part-c-answers"/>
    <w:p>
      <w:pPr>
        <w:pStyle w:val="Heading2"/>
      </w:pPr>
      <w:r>
        <w:t xml:space="preserve">Key questions Part C answers</w:t>
      </w:r>
    </w:p>
    <w:p>
      <w:pPr>
        <w:pStyle w:val="FirstParagraph"/>
      </w:pPr>
      <w:r>
        <w:rPr>
          <w:i/>
          <w:iCs/>
        </w:rPr>
        <w:t xml:space="preserve">Part C converts the findings of Parts A and B into a reform calendar. Its key questions are about sequencing, tractability and compensation — not about new substantive findings.</w:t>
      </w:r>
    </w:p>
    <w:p>
      <w:pPr>
        <w:numPr>
          <w:ilvl w:val="0"/>
          <w:numId w:val="1010"/>
        </w:numPr>
      </w:pPr>
      <w:r>
        <w:rPr>
          <w:b/>
          <w:bCs/>
        </w:rPr>
        <w:t xml:space="preserve">Sequencing.</w:t>
      </w:r>
      <w:r>
        <w:t xml:space="preserve"> </w:t>
      </w:r>
      <w:r>
        <w:t xml:space="preserve">Given the candidate reforms from Parts A and B, which comes first, and what is the right ordering by political tractability, fiscal yield and administrative readiness?</w:t>
      </w:r>
    </w:p>
    <w:p>
      <w:pPr>
        <w:numPr>
          <w:ilvl w:val="0"/>
          <w:numId w:val="1010"/>
        </w:numPr>
      </w:pPr>
      <w:r>
        <w:rPr>
          <w:b/>
          <w:bCs/>
        </w:rPr>
        <w:t xml:space="preserve">Tractability.</w:t>
      </w:r>
      <w:r>
        <w:t xml:space="preserve"> </w:t>
      </w:r>
      <w:r>
        <w:t xml:space="preserve">Which reforms can survive contact with politics in this country — reading the winners and losers directly off the schedule structure and the externality decomposition?</w:t>
      </w:r>
    </w:p>
    <w:p>
      <w:pPr>
        <w:numPr>
          <w:ilvl w:val="0"/>
          <w:numId w:val="1010"/>
        </w:numPr>
      </w:pPr>
      <w:r>
        <w:rPr>
          <w:b/>
          <w:bCs/>
        </w:rPr>
        <w:t xml:space="preserve">Compensation.</w:t>
      </w:r>
      <w:r>
        <w:t xml:space="preserve"> </w:t>
      </w:r>
      <w:r>
        <w:t xml:space="preserve">How should revenue be recycled so that the bottom of the distribution is protected, and is the compensation announced simultaneously with the reform rather than afterwards?</w:t>
      </w:r>
    </w:p>
    <w:p>
      <w:pPr>
        <w:numPr>
          <w:ilvl w:val="0"/>
          <w:numId w:val="1010"/>
        </w:numPr>
      </w:pPr>
      <w:r>
        <w:rPr>
          <w:b/>
          <w:bCs/>
        </w:rPr>
        <w:t xml:space="preserve">Framing.</w:t>
      </w:r>
      <w:r>
        <w:t xml:space="preserve"> </w:t>
      </w:r>
      <w:r>
        <w:t xml:space="preserve">Should the reform be argued on health and road-safety grounds or on climate grounds, given that air pollution and accidents dominate the externality gap in most LICs?</w:t>
      </w:r>
    </w:p>
    <w:p>
      <w:pPr>
        <w:numPr>
          <w:ilvl w:val="0"/>
          <w:numId w:val="1010"/>
        </w:numPr>
      </w:pPr>
      <w:r>
        <w:rPr>
          <w:b/>
          <w:bCs/>
        </w:rPr>
        <w:t xml:space="preserve">Comparators.</w:t>
      </w:r>
      <w:r>
        <w:t xml:space="preserve"> </w:t>
      </w:r>
      <w:r>
        <w:t xml:space="preserve">Which comparator-country experiences — drawn from peers the policy audience considers similar — give the proposal political weight?</w:t>
      </w:r>
    </w:p>
    <w:bookmarkEnd w:id="96"/>
    <w:bookmarkEnd w:id="97"/>
    <w:bookmarkStart w:id="101" w:name="X032db28c0234b3b613efe23048ae11161284626"/>
    <w:p>
      <w:pPr>
        <w:pStyle w:val="Heading1"/>
      </w:pPr>
      <w:r>
        <w:t xml:space="preserve">C2. Existing proposals and the candidates inherited from Parts A and B</w:t>
      </w:r>
    </w:p>
    <w:bookmarkStart w:id="98" w:name="X79fb2f2bb279e064d968fbb7adf2269d1c30cab"/>
    <w:p>
      <w:pPr>
        <w:pStyle w:val="Heading3"/>
      </w:pPr>
      <w:r>
        <w:t xml:space="preserve">C2.1 The IMF Getting Energy Prices Right baseline</w:t>
      </w:r>
    </w:p>
    <w:p>
      <w:pPr>
        <w:pStyle w:val="FirstParagraph"/>
      </w:pPr>
      <w:r>
        <w:t xml:space="preserve">The IMF GEPR framework remains the most useful global comparator for fuel and vehicle taxation. Its operational form — the corrective fuel tax equals carbon damages plus local air pollution damages plus congestion plus accidents plus road damage — is the same framework Part B’s Section 2 operates within. The IMF publishes country estimates regularly through the Black-Parry-Vernon-Zhunussova fossil-fuel subsidy updates. For any country running the combined diagnostic, the IMF GEPR numbers are the natural cross-check against the Part B point estimates: where they agree, the case for reform is strengthened; where they disagree, the divergence itself becomes a topic of country dialogue.</w:t>
      </w:r>
    </w:p>
    <w:p>
      <w:pPr>
        <w:pStyle w:val="BodyText"/>
      </w:pPr>
      <w:r>
        <w:t xml:space="preserve">The IMF’s normative recommendation is convergence toward an internalised corrective rate. The diagnostic does not impose this normative position. It presents the gap and the comparator and lets the country team decide how much of the gap to close in what timeframe.</w:t>
      </w:r>
    </w:p>
    <w:bookmarkEnd w:id="98"/>
    <w:bookmarkStart w:id="99" w:name="c2.2-the-part-a-reform-candidates"/>
    <w:p>
      <w:pPr>
        <w:pStyle w:val="Heading3"/>
      </w:pPr>
      <w:r>
        <w:t xml:space="preserve">C2.2 The Part A reform candidates</w:t>
      </w:r>
    </w:p>
    <w:p>
      <w:pPr>
        <w:pStyle w:val="FirstParagraph"/>
      </w:pPr>
      <w:r>
        <w:t xml:space="preserve">Part A surfaced three reform candidates from the schedule itself, plus a structural reform (indexation) and a category-broadening candidate (sugar-graduated SSB). They are restated here in summary form.</w:t>
      </w:r>
    </w:p>
    <w:tbl>
      <w:tblPr>
        <w:tblStyle w:val="Table"/>
        <w:tblW w:type="pct" w:w="4975"/>
        <w:tblLayout w:type="fixed"/>
        <w:tblLook w:firstRow="1" w:lastRow="0" w:firstColumn="0" w:lastColumn="0" w:noHBand="0" w:noVBand="0" w:val="0020"/>
      </w:tblPr>
      <w:tblGrid>
        <w:gridCol w:w="1568"/>
        <w:gridCol w:w="6312"/>
      </w:tblGrid>
      <w:tr>
        <w:trPr>
          <w:tblHeader w:val="on"/>
        </w:trPr>
        <w:tc>
          <w:tcPr/>
          <w:p>
            <w:pPr>
              <w:pStyle w:val="Compact"/>
              <w:jc w:val="left"/>
            </w:pPr>
            <w:r>
              <w:rPr>
                <w:b/>
                <w:bCs/>
              </w:rPr>
              <w:t xml:space="preserve">Candidate</w:t>
            </w:r>
          </w:p>
        </w:tc>
        <w:tc>
          <w:tcPr/>
          <w:p>
            <w:pPr>
              <w:pStyle w:val="Compact"/>
              <w:jc w:val="left"/>
            </w:pPr>
            <w:r>
              <w:rPr>
                <w:b/>
                <w:bCs/>
              </w:rPr>
              <w:t xml:space="preserve">What it would do</w:t>
            </w:r>
          </w:p>
        </w:tc>
      </w:tr>
      <w:tr>
        <w:tc>
          <w:tcPr/>
          <w:p>
            <w:pPr>
              <w:pStyle w:val="Compact"/>
              <w:jc w:val="left"/>
            </w:pPr>
            <w:r>
              <w:rPr>
                <w:b/>
                <w:bCs/>
              </w:rPr>
              <w:t xml:space="preserve">Redenominate the Sierra Leonean wine schedule</w:t>
            </w:r>
          </w:p>
        </w:tc>
        <w:tc>
          <w:tcPr/>
          <w:p>
            <w:pPr>
              <w:pStyle w:val="Compact"/>
              <w:jc w:val="left"/>
            </w:pPr>
            <w:r>
              <w:t xml:space="preserve">FA2024 rates in Old Leones translate to essentially zero excise after the 2022 1,000:1 redenomination. A one-line schedule amendment in the next Finance Act would restore the intended rates. Negligible fiscal yield but a transparency win.</w:t>
            </w:r>
          </w:p>
        </w:tc>
      </w:tr>
      <w:tr>
        <w:tc>
          <w:tcPr/>
          <w:p>
            <w:pPr>
              <w:pStyle w:val="Compact"/>
              <w:jc w:val="left"/>
            </w:pPr>
            <w:r>
              <w:rPr>
                <w:b/>
                <w:bCs/>
              </w:rPr>
              <w:t xml:space="preserve">Lift Sierra Leonean cigarette excise toward Uganda’s lowest tier</w:t>
            </w:r>
          </w:p>
        </w:tc>
        <w:tc>
          <w:tcPr/>
          <w:p>
            <w:pPr>
              <w:pStyle w:val="Compact"/>
              <w:jc w:val="left"/>
            </w:pPr>
            <w:r>
              <w:t xml:space="preserve">Sierra Leone runs at approximately USD 0.14 per pack against Uganda’s USD 0.35 to 1.07. A phased path of three Finance Acts at plus 30 per cent each would bring the rate toward Uganda’s lowest tier. The base is small (low smoking prevalence) so the fiscal yield is modest; the public-health case is well-evidenced.</w:t>
            </w:r>
          </w:p>
        </w:tc>
      </w:tr>
      <w:tr>
        <w:tc>
          <w:tcPr/>
          <w:p>
            <w:pPr>
              <w:pStyle w:val="Compact"/>
              <w:jc w:val="left"/>
            </w:pPr>
            <w:r>
              <w:rPr>
                <w:b/>
                <w:bCs/>
              </w:rPr>
              <w:t xml:space="preserve">Introduce sugar-content-graduated SSB excise in both countries</w:t>
            </w:r>
          </w:p>
        </w:tc>
        <w:tc>
          <w:tcPr/>
          <w:p>
            <w:pPr>
              <w:pStyle w:val="Compact"/>
              <w:jc w:val="left"/>
            </w:pPr>
            <w:r>
              <w:t xml:space="preserve">Uganda taxes all non-alcoholic beverages including juice at a flat 12 per cent or UGX 250 per litre; Sierra Leone taxes only energy drinks and imported juice. UK SDIL and South Africa HPL demonstrate the design can be implemented. The rate gap to peers is largest here and the public-health rationale is well-evidenced.</w:t>
            </w:r>
          </w:p>
        </w:tc>
      </w:tr>
      <w:tr>
        <w:tc>
          <w:tcPr/>
          <w:p>
            <w:pPr>
              <w:pStyle w:val="Compact"/>
              <w:jc w:val="left"/>
            </w:pPr>
            <w:r>
              <w:rPr>
                <w:b/>
                <w:bCs/>
              </w:rPr>
              <w:t xml:space="preserve">Index specific rates to inflation</w:t>
            </w:r>
          </w:p>
        </w:tc>
        <w:tc>
          <w:tcPr/>
          <w:p>
            <w:pPr>
              <w:pStyle w:val="Compact"/>
              <w:jc w:val="left"/>
            </w:pPr>
            <w:r>
              <w:t xml:space="preserve">Both countries’ specific rates show clear erosion-and-restoration cycles. Indexation removes the political cost of restoration without losing real revenue. Standard reform with a long track record in OECD countries.</w:t>
            </w:r>
          </w:p>
        </w:tc>
      </w:tr>
      <w:tr>
        <w:tc>
          <w:tcPr/>
          <w:p>
            <w:pPr>
              <w:pStyle w:val="Compact"/>
              <w:jc w:val="left"/>
            </w:pPr>
            <w:r>
              <w:rPr>
                <w:b/>
                <w:bCs/>
              </w:rPr>
              <w:t xml:space="preserve">Carbon-tax overlay on fuel, or graduated emissions-based vehicle taxation</w:t>
            </w:r>
          </w:p>
        </w:tc>
        <w:tc>
          <w:tcPr/>
          <w:p>
            <w:pPr>
              <w:pStyle w:val="Compact"/>
              <w:jc w:val="left"/>
            </w:pPr>
            <w:r>
              <w:t xml:space="preserve">Currently fuel excise does environmental work only by accident — Uganda’s UGX 1,550 per litre on petrol corresponds to an implicit carbon rate that varies with international fuel prices. An explicit carbon component would make this visible. Part B picks this up directly.</w:t>
            </w:r>
          </w:p>
        </w:tc>
      </w:tr>
    </w:tbl>
    <w:bookmarkEnd w:id="99"/>
    <w:bookmarkStart w:id="100" w:name="c2.3-the-part-b-reform-candidates"/>
    <w:p>
      <w:pPr>
        <w:pStyle w:val="Heading3"/>
      </w:pPr>
      <w:r>
        <w:t xml:space="preserve">C2.3 The Part B reform candidates</w:t>
      </w:r>
    </w:p>
    <w:p>
      <w:pPr>
        <w:pStyle w:val="FirstParagraph"/>
      </w:pPr>
      <w:r>
        <w:t xml:space="preserve">Part B’s Section 7 sketch for Country X produced four candidates that generalise across most Tier 2 settings. They are restated here without re-derivation.</w:t>
      </w:r>
    </w:p>
    <w:tbl>
      <w:tblPr>
        <w:tblStyle w:val="Table"/>
        <w:tblW w:type="pct" w:w="4973"/>
        <w:tblLayout w:type="fixed"/>
        <w:tblLook w:firstRow="1" w:lastRow="0" w:firstColumn="0" w:lastColumn="0" w:noHBand="0" w:noVBand="0" w:val="0020"/>
      </w:tblPr>
      <w:tblGrid>
        <w:gridCol w:w="1176"/>
        <w:gridCol w:w="6701"/>
      </w:tblGrid>
      <w:tr>
        <w:trPr>
          <w:tblHeader w:val="on"/>
        </w:trPr>
        <w:tc>
          <w:tcPr/>
          <w:p>
            <w:pPr>
              <w:pStyle w:val="Compact"/>
              <w:jc w:val="left"/>
            </w:pPr>
            <w:r>
              <w:rPr>
                <w:b/>
                <w:bCs/>
              </w:rPr>
              <w:t xml:space="preserve">Candidate</w:t>
            </w:r>
          </w:p>
        </w:tc>
        <w:tc>
          <w:tcPr/>
          <w:p>
            <w:pPr>
              <w:pStyle w:val="Compact"/>
              <w:jc w:val="left"/>
            </w:pPr>
            <w:r>
              <w:rPr>
                <w:b/>
                <w:bCs/>
              </w:rPr>
              <w:t xml:space="preserve">What it would do</w:t>
            </w:r>
          </w:p>
        </w:tc>
      </w:tr>
      <w:tr>
        <w:tc>
          <w:tcPr/>
          <w:p>
            <w:pPr>
              <w:pStyle w:val="Compact"/>
              <w:jc w:val="left"/>
            </w:pPr>
            <w:r>
              <w:rPr>
                <w:b/>
                <w:bCs/>
              </w:rPr>
              <w:t xml:space="preserve">Phased diesel-tax closure of the externality gap</w:t>
            </w:r>
          </w:p>
        </w:tc>
        <w:tc>
          <w:tcPr/>
          <w:p>
            <w:pPr>
              <w:pStyle w:val="Compact"/>
              <w:jc w:val="left"/>
            </w:pPr>
            <w:r>
              <w:t xml:space="preserve">In Country X, USD 0.50 per litre over three years closes roughly two-thirds of the gap to the second-best corrective rate. Air pollution and accidents drive the gap; the case is health-and-safety, not climate. Revenue: approximately 1 per cent of GDP at full implementation.</w:t>
            </w:r>
          </w:p>
        </w:tc>
      </w:tr>
      <w:tr>
        <w:tc>
          <w:tcPr/>
          <w:p>
            <w:pPr>
              <w:pStyle w:val="Compact"/>
              <w:jc w:val="left"/>
            </w:pPr>
            <w:r>
              <w:rPr>
                <w:b/>
                <w:bCs/>
              </w:rPr>
              <w:t xml:space="preserve">Recycling design: per-household transfer</w:t>
            </w:r>
          </w:p>
        </w:tc>
        <w:tc>
          <w:tcPr/>
          <w:p>
            <w:pPr>
              <w:pStyle w:val="Compact"/>
              <w:jc w:val="left"/>
            </w:pPr>
            <w:r>
              <w:t xml:space="preserve">30 per cent of new revenue into a flat per-household transfer through existing social-protection channels neutralises the regressivity of the diesel-tax increase. The bottom quintile is better off in net terms. In year two, the transfer is institutionalised as a permanent indexed component of the social safety net.</w:t>
            </w:r>
          </w:p>
        </w:tc>
      </w:tr>
      <w:tr>
        <w:tc>
          <w:tcPr/>
          <w:p>
            <w:pPr>
              <w:pStyle w:val="Compact"/>
              <w:jc w:val="left"/>
            </w:pPr>
            <w:r>
              <w:rPr>
                <w:b/>
                <w:bCs/>
              </w:rPr>
              <w:t xml:space="preserve">Emissions-and-weight feebate on imported vehicles</w:t>
            </w:r>
          </w:p>
        </w:tc>
        <w:tc>
          <w:tcPr/>
          <w:p>
            <w:pPr>
              <w:pStyle w:val="Compact"/>
              <w:jc w:val="left"/>
            </w:pPr>
            <w:r>
              <w:t xml:space="preserve">Begins addressing fleet composition without a Gruenspecht effect (i.e. without locking in old vehicles by raising the price of new ones). Year-two reform.</w:t>
            </w:r>
          </w:p>
        </w:tc>
      </w:tr>
      <w:tr>
        <w:tc>
          <w:tcPr/>
          <w:p>
            <w:pPr>
              <w:pStyle w:val="Compact"/>
              <w:jc w:val="left"/>
            </w:pPr>
            <w:r>
              <w:rPr>
                <w:b/>
                <w:bCs/>
              </w:rPr>
              <w:t xml:space="preserve">Distance-based heavy-goods-vehicle charge</w:t>
            </w:r>
          </w:p>
        </w:tc>
        <w:tc>
          <w:tcPr/>
          <w:p>
            <w:pPr>
              <w:pStyle w:val="Compact"/>
              <w:jc w:val="left"/>
            </w:pPr>
            <w:r>
              <w:t xml:space="preserve">Addresses the road-damage and accident externalities that fuel tax addresses imperfectly. Year-three reform; requires administrative infrastructure that takes time to build.</w:t>
            </w:r>
          </w:p>
        </w:tc>
      </w:tr>
    </w:tbl>
    <w:p>
      <w:pPr>
        <w:pStyle w:val="BodyText"/>
      </w:pPr>
      <w:r>
        <w:t xml:space="preserve">Read together, the candidates from Parts A and B cover three reform domains: rate-level reforms (cigarette and SSB convergence, diesel-tax closure); structural reforms (indexation, recycling design, feebate, distance-based charge); and transparency reforms (wine redenomination). The sequencing of these candidates is what Part C contributes.</w:t>
      </w:r>
    </w:p>
    <w:bookmarkEnd w:id="100"/>
    <w:bookmarkEnd w:id="101"/>
    <w:bookmarkStart w:id="107" w:name="Xbd6afad577d5a08dce0b90f44da12dee09408ee"/>
    <w:p>
      <w:pPr>
        <w:pStyle w:val="Heading1"/>
      </w:pPr>
      <w:r>
        <w:t xml:space="preserve">C3. Success stories — comparator-country experience</w:t>
      </w:r>
    </w:p>
    <w:p>
      <w:pPr>
        <w:pStyle w:val="FirstParagraph"/>
      </w:pPr>
      <w:r>
        <w:t xml:space="preserve">Reform proposals carry more political weight when grounded in comparable experience. Country teams need to be able to say “this is what Ghana did, this is what Rwanda did, this is what worked, this is what didn’t”. The following are short comparator vignettes drawn from public-domain sources and from the existing FVTD national-practice review (Part B section B3).</w:t>
      </w:r>
    </w:p>
    <w:bookmarkStart w:id="102" w:name="Xbc1c6704ba90912ea497dd64a5a08c6bd1b9f8d"/>
    <w:p>
      <w:pPr>
        <w:pStyle w:val="Heading3"/>
      </w:pPr>
      <w:r>
        <w:t xml:space="preserve">C3.1 Rwanda, Ghana and Kenya — phased diesel-tax increases</w:t>
      </w:r>
    </w:p>
    <w:p>
      <w:pPr>
        <w:pStyle w:val="FirstParagraph"/>
      </w:pPr>
      <w:r>
        <w:t xml:space="preserve">All three countries have raised diesel tax over the past decade in steps. None has experienced the macroeconomic disruption commonly feared in advance of such reforms. Three features are common to the successful sequencing: (i) increases were announced in advance and bundled across the fuel slate (petrol and diesel together, with diesel rising faster) so that no single fuel-using sector was singled out; (ii) increases were sequenced with targeted social protection — Rwanda’s Vision Umurenge Programme, Ghana’s LEAP, Kenya’s Inua Jamii — so that bottom-quintile households were visibly compensated; (iii) the public communication emphasised the health and road-safety justification rather than the climate justification. The diesel case is health-and-safety, not climate; LIC publics respond to it differently.</w:t>
      </w:r>
    </w:p>
    <w:p>
      <w:pPr>
        <w:pStyle w:val="BodyText"/>
      </w:pPr>
      <w:r>
        <w:t xml:space="preserve">The implication for the diagnostic: comparator references should be drawn from countries the policy audience considers similar, not from OECD precedents. A Ugandan Permanent Secretary will respond more strongly to “Rwanda did this” than to “Denmark did this”, even where the Danish case is methodologically more rigorous.</w:t>
      </w:r>
    </w:p>
    <w:bookmarkEnd w:id="102"/>
    <w:bookmarkStart w:id="103" w:name="X21f194075144672a1c8fee20703ad788f5850c3"/>
    <w:p>
      <w:pPr>
        <w:pStyle w:val="Heading3"/>
      </w:pPr>
      <w:r>
        <w:t xml:space="preserve">C3.2 South Africa — legislative carbon-pricing architecture</w:t>
      </w:r>
    </w:p>
    <w:p>
      <w:pPr>
        <w:pStyle w:val="FirstParagraph"/>
      </w:pPr>
      <w:r>
        <w:t xml:space="preserve">South Africa has the most developed legislative carbon-pricing architecture among middle-income countries. The carbon tax operating since 2019 covers approximately 80 per cent of national emissions. Fuel-levy escalators are a regular feature of the annual Budget Review. Treasury budget reviews engage with externality reasoning more explicitly than is typical at this income level. Two features of the South African design are worth replicating: (i) the carbon component is layered on existing fuel levies rather than imposed alongside them, which simplifies administration; (ii) the headline rate is announced with a multi-year trajectory rather than year by year, which reduces the political cost of each annual increase.</w:t>
      </w:r>
    </w:p>
    <w:p>
      <w:pPr>
        <w:pStyle w:val="BodyText"/>
      </w:pPr>
      <w:r>
        <w:t xml:space="preserve">The constraint on direct replication is administrative capacity. South Africa has stronger revenue and tax administration than most lower-income comparators. A Tier 2 application of the South African design would need to simplify.</w:t>
      </w:r>
    </w:p>
    <w:bookmarkEnd w:id="103"/>
    <w:bookmarkStart w:id="104" w:name="X502c89901b1fa5b98f4b9ce8b6e9b96a7e74fbb"/>
    <w:p>
      <w:pPr>
        <w:pStyle w:val="Heading3"/>
      </w:pPr>
      <w:r>
        <w:t xml:space="preserve">C3.3 Mexico, Chile, Colombia — carbon components on fuels</w:t>
      </w:r>
    </w:p>
    <w:p>
      <w:pPr>
        <w:pStyle w:val="FirstParagraph"/>
      </w:pPr>
      <w:r>
        <w:t xml:space="preserve">Mexico introduced a carbon component on fuels in 2014. Chile introduced a carbon component on stationary sources in 2014 and has continued to develop environmental tax architecture. Colombia has had a national carbon tax since 2017 with a carbon-credit offset mechanism. In each case the headline rate is modest by OECD standards but the institutional precedent matters: a country that already has “a carbon tax on fuels”, even at a low rate, can raise it through ordinary budget processes; a country introducing one from scratch faces a much steeper political hurdle. Phasing-in matters more than the level.</w:t>
      </w:r>
    </w:p>
    <w:bookmarkEnd w:id="104"/>
    <w:bookmarkStart w:id="105" w:name="c3.4-the-uk-valuation-discipline"/>
    <w:p>
      <w:pPr>
        <w:pStyle w:val="Heading3"/>
      </w:pPr>
      <w:r>
        <w:t xml:space="preserve">C3.4 The UK — valuation discipline</w:t>
      </w:r>
    </w:p>
    <w:p>
      <w:pPr>
        <w:pStyle w:val="FirstParagraph"/>
      </w:pPr>
      <w:r>
        <w:t xml:space="preserve">The UK does not produce a recurring fuel-tax diagnostic of the kind proposed here, but it does institutionalise the valuation discipline that Part B borrows. A single VSL, a single carbon trajectory, a single set of pollution damage costs are used across government appraisal. The implication for the diagnostic is not to copy the UK numbers but to copy the institutional habit: set the parameters once, apply them everywhere in a country report, update annually.</w:t>
      </w:r>
    </w:p>
    <w:bookmarkEnd w:id="105"/>
    <w:bookmarkStart w:id="106" w:name="X954ad6ee29452e91854fd39e33ba95a3d7835c5"/>
    <w:p>
      <w:pPr>
        <w:pStyle w:val="Heading3"/>
      </w:pPr>
      <w:r>
        <w:t xml:space="preserve">C3.5 What does not work — anti-patterns from comparator experience</w:t>
      </w:r>
    </w:p>
    <w:p>
      <w:pPr>
        <w:pStyle w:val="FirstParagraph"/>
      </w:pPr>
      <w:r>
        <w:t xml:space="preserve">The literature on failed fuel-subsidy reform is large and consistent. Three anti-patterns appear repeatedly.</w:t>
      </w:r>
    </w:p>
    <w:p>
      <w:pPr>
        <w:numPr>
          <w:ilvl w:val="0"/>
          <w:numId w:val="1011"/>
        </w:numPr>
      </w:pPr>
      <w:r>
        <w:rPr>
          <w:b/>
          <w:bCs/>
        </w:rPr>
        <w:t xml:space="preserve">Reform announced without recycling design.</w:t>
      </w:r>
      <w:r>
        <w:t xml:space="preserve"> </w:t>
      </w:r>
      <w:r>
        <w:t xml:space="preserve">Ecuador 2019, Indonesia 2022, Iran 2019, Nigeria multiple times. A subsidy cut or fuel-tax increase is announced; affected populations protest; the reform is reversed or watered down. The Part B recycling design — a flat per-household transfer financed by a fraction of the new revenue — is the most reliable counterweight, but only if it is announced simultaneously with the reform, not afterwards.</w:t>
      </w:r>
    </w:p>
    <w:p>
      <w:pPr>
        <w:numPr>
          <w:ilvl w:val="0"/>
          <w:numId w:val="1011"/>
        </w:numPr>
      </w:pPr>
      <w:r>
        <w:rPr>
          <w:b/>
          <w:bCs/>
        </w:rPr>
        <w:t xml:space="preserve">Reform sold on climate grounds in LICs.</w:t>
      </w:r>
      <w:r>
        <w:t xml:space="preserve"> </w:t>
      </w:r>
      <w:r>
        <w:t xml:space="preserve">Climate justification polls poorly in countries where most fuel-buyers will not personally experience the worst consequences of global warming. The health and road-safety justification polls substantially better and is empirically the larger component of the externality gap in LICs. The communications choice is not a betrayal of the climate logic; it is a recognition that the local pollution and accident gains are larger in absolute terms.</w:t>
      </w:r>
    </w:p>
    <w:p>
      <w:pPr>
        <w:numPr>
          <w:ilvl w:val="0"/>
          <w:numId w:val="1011"/>
        </w:numPr>
      </w:pPr>
      <w:r>
        <w:rPr>
          <w:b/>
          <w:bCs/>
        </w:rPr>
        <w:t xml:space="preserve">Reform on a single instrument.</w:t>
      </w:r>
      <w:r>
        <w:t xml:space="preserve"> </w:t>
      </w:r>
      <w:r>
        <w:t xml:space="preserve">Raising fuel excise without addressing vehicle taxation produces a known failure mode: high-emission vehicles continue to enter the fleet and lock in the future fuel-use base. The Part B Year 2 feebate addresses this directly. Reform pathways need to address the stock as well as the flow.</w:t>
      </w:r>
    </w:p>
    <w:bookmarkEnd w:id="106"/>
    <w:bookmarkEnd w:id="107"/>
    <w:bookmarkStart w:id="114" w:name="c4.-narrative-political-economy-analysis"/>
    <w:p>
      <w:pPr>
        <w:pStyle w:val="Heading1"/>
      </w:pPr>
      <w:r>
        <w:t xml:space="preserve">C4. Narrative political-economy analysis</w:t>
      </w:r>
    </w:p>
    <w:p>
      <w:pPr>
        <w:pStyle w:val="FirstParagraph"/>
      </w:pPr>
      <w:r>
        <w:t xml:space="preserve">Reform proposals that survive contact with politics share recognisable features. This section reads political-economy dynamics directly off the schedules diagnosed in Part A and the externality estimates in Part B. The objective is not to produce a general theory but to give country teams a structured way of thinking about which reforms are tractable in which conditions.</w:t>
      </w:r>
    </w:p>
    <w:bookmarkStart w:id="108" w:name="Xf9eff446bcf08f7e9ff67c9a2b649ad1e42c671"/>
    <w:p>
      <w:pPr>
        <w:pStyle w:val="Heading3"/>
      </w:pPr>
      <w:r>
        <w:t xml:space="preserve">C4.1 Who wins and who loses from the status quo</w:t>
      </w:r>
    </w:p>
    <w:p>
      <w:pPr>
        <w:pStyle w:val="FirstParagraph"/>
      </w:pPr>
      <w:r>
        <w:t xml:space="preserve">Every excise line creates winners and losers. Reform that re-allocates these gains and losses creates active political opposition. The first step in any political-economy analysis is to map them.</w:t>
      </w:r>
    </w:p>
    <w:p>
      <w:pPr>
        <w:pStyle w:val="BodyText"/>
      </w:pPr>
      <w:r>
        <w:t xml:space="preserve">On the producer side, local-content discounts in the alcohol regimes of both Uganda and Sierra Leone create politically organised winners. Uganda’s beer regime gives a 50 per cent rate discount to producers using at least 75 per cent local raw material; Sierra Leone’s four-band local-content system (D1–D4) graduates the rate by share of local input. These bands look like industrial policy. From a political-economy perspective they are also producer protection: domestic agricultural input suppliers, domestic brewers, and the politicians representing their constituencies. Reform that flattens the bands or raises the discounted rate confronts a recognisable lobby. The diagnostic should not assume away that constraint.</w:t>
      </w:r>
    </w:p>
    <w:p>
      <w:pPr>
        <w:pStyle w:val="BodyText"/>
      </w:pPr>
      <w:r>
        <w:t xml:space="preserve">On the consumer side, fuel-tax increases are spatially concentrated. Urban motorists pay more directly; informal-sector transport workers (matatu and boda boda drivers in East Africa, poda poda drivers in Sierra Leone) pay through fuel costs; rural households pay through goods prices. The CPAT incidence module quantifies these effects; the political-economy reading is that fuel-tax opposition tends to be loudest among informal-sector transport workers, whose visibility in the capital is high relative to their share of the affected population. Compensation design needs to address them explicitly — fuel-card schemes, route-licence concessions, or direct cash transfers via mobile money — not just generic household transfers.</w:t>
      </w:r>
    </w:p>
    <w:p>
      <w:pPr>
        <w:pStyle w:val="BodyText"/>
      </w:pPr>
      <w:r>
        <w:t xml:space="preserve">On the structural side, the redenomination anomaly in Sierra Leonean wine excise persists because nobody loses from its persistence. Wine importers and consumers face a near-zero rate; the Treasury loses revenue that was never accounted for; no organised constituency campaigns for restoration. Reform is therefore easy in the technical sense (a one-line amendment) and easy in the political sense (no loser is mobilised against it) but requires Treasury attention to surface in the first place. The diagnostic is what surfaces it.</w:t>
      </w:r>
    </w:p>
    <w:bookmarkEnd w:id="108"/>
    <w:bookmarkStart w:id="109" w:name="c4.2-why-diesel-is-harder-than-gasoline"/>
    <w:p>
      <w:pPr>
        <w:pStyle w:val="Heading3"/>
      </w:pPr>
      <w:r>
        <w:t xml:space="preserve">C4.2 Why diesel is harder than gasoline</w:t>
      </w:r>
    </w:p>
    <w:p>
      <w:pPr>
        <w:pStyle w:val="FirstParagraph"/>
      </w:pPr>
      <w:r>
        <w:t xml:space="preserve">Part B’s Section 4 found that diesel is substantially undertaxed for externalities while gasoline is roughly correctly taxed. This is the textbook finding for developing countries. It is also the textbook political problem.</w:t>
      </w:r>
    </w:p>
    <w:p>
      <w:pPr>
        <w:pStyle w:val="BodyText"/>
      </w:pPr>
      <w:r>
        <w:t xml:space="preserve">Gasoline is consumed predominantly by private passenger vehicles, which are predominantly owned by upper-quintile households. A gasoline-tax increase is mildly progressive on direct incidence. Diesel is consumed predominantly by trucks, buses and informal-sector vehicles. A diesel-tax increase is approximately distribution-neutral on direct incidence because the effect transmits through goods prices and fares to all households. But the political incidence is different from the economic incidence. Diesel-tax increases are visible to truck drivers, bus owners and informal-transport operators — three of the most politically mobilisable groups in most African capitals. Gasoline-tax increases are visible to a smaller, less mobilised constituency.</w:t>
      </w:r>
    </w:p>
    <w:p>
      <w:pPr>
        <w:pStyle w:val="BodyText"/>
      </w:pPr>
      <w:r>
        <w:t xml:space="preserve">The implication for sequencing: a diesel-tax reform announced alone, without recycling and without the road-safety framing, is politically high-risk. A diesel-tax reform announced alongside a per-household transfer, with the road-safety framing prominent, and ideally bundled with a gasoline increase so that the visible signal is “fuel prices are going up” rather than “the government is targeting truckers”, has a much better track record. Rwanda, Ghana and Kenya all bundled.</w:t>
      </w:r>
    </w:p>
    <w:bookmarkEnd w:id="109"/>
    <w:bookmarkStart w:id="110" w:name="Xbb9887c897a68a4b6179f99df074e366fa06b45"/>
    <w:p>
      <w:pPr>
        <w:pStyle w:val="Heading3"/>
      </w:pPr>
      <w:r>
        <w:t xml:space="preserve">C4.3 Why tobacco is easier in some countries than others</w:t>
      </w:r>
    </w:p>
    <w:p>
      <w:pPr>
        <w:pStyle w:val="FirstParagraph"/>
      </w:pPr>
      <w:r>
        <w:t xml:space="preserve">Tobacco-tax increases face minimal organised opposition in countries with no domestic production. Sierra Leone imports all tobacco; the only domestic constituency is the smoking population itself, which is small (3 to 5 per cent of adults). The phased path from USD 0.14 per pack toward Uganda’s lowest tier of USD 0.35 — three Finance Acts at plus 30 per cent each — is therefore politically straightforward. The fiscal yield is small (the base is narrow) but the public-health case is strong and the opposition is minimal.</w:t>
      </w:r>
    </w:p>
    <w:p>
      <w:pPr>
        <w:pStyle w:val="BodyText"/>
      </w:pPr>
      <w:r>
        <w:t xml:space="preserve">Uganda is different. Domestic tobacco production exists, including for export. Tobacco-tax increases there face an organised domestic constituency. The FA2025 doubling of imported-cigarette rates (UGX 75,000 to 150,000 per 1,000 sticks for soft cap, UGX 100,000 to 200,000 for hinge lid) without an equivalent increase on the locally manufactured tiers (55,000 to 65,000; 80,000 to 90,000) is recognisable as a political compromise: imports take the larger increase because domestic producers are politically organised. The diagnostic surfaces the discrimination without adjudicating it.</w:t>
      </w:r>
    </w:p>
    <w:p>
      <w:pPr>
        <w:pStyle w:val="BodyText"/>
      </w:pPr>
      <w:r>
        <w:t xml:space="preserve">The implication for Part C is general: reforms that target imports take a different political path from reforms that affect domestic production. Country teams need to know which they are recommending.</w:t>
      </w:r>
    </w:p>
    <w:bookmarkEnd w:id="110"/>
    <w:bookmarkStart w:id="111" w:name="X24939eee2d0afddd4fad4478b338fefe29a20eb"/>
    <w:p>
      <w:pPr>
        <w:pStyle w:val="Heading3"/>
      </w:pPr>
      <w:r>
        <w:t xml:space="preserve">C4.4 Why SSB excise is politically tractable now</w:t>
      </w:r>
    </w:p>
    <w:p>
      <w:pPr>
        <w:pStyle w:val="FirstParagraph"/>
      </w:pPr>
      <w:r>
        <w:t xml:space="preserve">Sugar-sweetened beverage excise is unusual in being both fiscally material (in countries with a meaningful SSB base) and politically tractable. Five features matter.</w:t>
      </w:r>
    </w:p>
    <w:p>
      <w:pPr>
        <w:numPr>
          <w:ilvl w:val="0"/>
          <w:numId w:val="1012"/>
        </w:numPr>
      </w:pPr>
      <w:r>
        <w:t xml:space="preserve">The international precedent is substantial. Mexico (2014), South Africa (2018), UK (2018), Saudi Arabia (2017), the Gulf states more broadly, the Philippines (2018), and Chile in modified form. A country considering an SSB excise is no longer the outlier.</w:t>
      </w:r>
    </w:p>
    <w:p>
      <w:pPr>
        <w:numPr>
          <w:ilvl w:val="0"/>
          <w:numId w:val="1012"/>
        </w:numPr>
      </w:pPr>
      <w:r>
        <w:t xml:space="preserve">The public-health case is well-evidenced and well-communicated. Diabetes, obesity, and dental-health concerns translate readily into public-facing arguments.</w:t>
      </w:r>
    </w:p>
    <w:p>
      <w:pPr>
        <w:numPr>
          <w:ilvl w:val="0"/>
          <w:numId w:val="1012"/>
        </w:numPr>
      </w:pPr>
      <w:r>
        <w:t xml:space="preserve">Domestic constituencies are mixed. Bottlers oppose; public-health advocates support; ministries of health are typically supportive partners; ministries of finance get revenue.</w:t>
      </w:r>
    </w:p>
    <w:p>
      <w:pPr>
        <w:numPr>
          <w:ilvl w:val="0"/>
          <w:numId w:val="1012"/>
        </w:numPr>
      </w:pPr>
      <w:r>
        <w:t xml:space="preserve">Sugar-content graduation, on the UK SDIL model, gives manufacturers an incentive to reformulate rather than oppose, partially neutralising the bottler lobby.</w:t>
      </w:r>
    </w:p>
    <w:p>
      <w:pPr>
        <w:numPr>
          <w:ilvl w:val="0"/>
          <w:numId w:val="1012"/>
        </w:numPr>
      </w:pPr>
      <w:r>
        <w:t xml:space="preserve">Implementation through the existing excise architecture is technically straightforward — both Uganda and Sierra Leone already tax some non-alcoholic beverages and would need only to graduate the rate by sugar content.</w:t>
      </w:r>
    </w:p>
    <w:p>
      <w:pPr>
        <w:pStyle w:val="FirstParagraph"/>
      </w:pPr>
      <w:r>
        <w:t xml:space="preserve">For Tier 2 countries running the diagnostic, SSB excise is therefore a high-priority candidate in the C5 reform pathway: it scores well on tractability, fiscal yield is moderate, public-health gains are well-evidenced, and the international precedent makes the comparator argument easy.</w:t>
      </w:r>
    </w:p>
    <w:bookmarkEnd w:id="111"/>
    <w:bookmarkStart w:id="112" w:name="X83d4e6f8cd0955f1dd7891ffd749fe34bd6f7a3"/>
    <w:p>
      <w:pPr>
        <w:pStyle w:val="Heading3"/>
      </w:pPr>
      <w:r>
        <w:t xml:space="preserve">C4.5 The framing question: health, safety, or climate?</w:t>
      </w:r>
    </w:p>
    <w:p>
      <w:pPr>
        <w:pStyle w:val="FirstParagraph"/>
      </w:pPr>
      <w:r>
        <w:t xml:space="preserve">Across LIC and weak-data LMIC settings, the climate framing polls poorly for fuel-tax reforms. The health and road-safety framing polls substantially better. Part B’s externality decomposition shows why: in the Country X worked example, air pollution and accidents together account for 70 per cent of the implicit-subsidy gap, while carbon accounts for less than 20 per cent. The framing choice is therefore not a betrayal of the underlying logic but a recognition of the empirical magnitudes. Climate matters, but in LICs the air-pollution and accident magnitudes are larger and the political resonance of those framings is stronger.</w:t>
      </w:r>
    </w:p>
    <w:p>
      <w:pPr>
        <w:pStyle w:val="BodyText"/>
      </w:pPr>
      <w:r>
        <w:t xml:space="preserve">Tier 1 settings differ. In countries with a more developed climate-policy debate (South Africa, Colombia, Chile, Mexico), the carbon framing can do real work. The diagnostic does not impose a single framing; it provides the decomposition that lets country teams make the framing decision deliberately.</w:t>
      </w:r>
    </w:p>
    <w:bookmarkEnd w:id="112"/>
    <w:bookmarkStart w:id="113" w:name="Xe74b834756269ec86124175d47d839a96781549"/>
    <w:p>
      <w:pPr>
        <w:pStyle w:val="Heading3"/>
      </w:pPr>
      <w:r>
        <w:t xml:space="preserve">C4.6 Why the schedule itself encodes political-economy information</w:t>
      </w:r>
    </w:p>
    <w:p>
      <w:pPr>
        <w:pStyle w:val="FirstParagraph"/>
      </w:pPr>
      <w:r>
        <w:t xml:space="preserve">A subtle but important point: the structure of the schedule itself encodes political-economy information that is invisible to a reader who looks only at the rate. The four-band local-content beer regime is a political artefact. The differential treatment of imported and locally manufactured cigarettes is a political artefact. The cooking-oil rate untouched for a decade is a political artefact. The wine redenomination anomaly is a political artefact (of omission rather than commission). The Part A diagnostic — by laying out structure, differentiation and history on five fields — makes these artefacts legible. Part C reads them as political-economy data.</w:t>
      </w:r>
    </w:p>
    <w:p>
      <w:pPr>
        <w:pStyle w:val="BodyText"/>
      </w:pPr>
      <w:r>
        <w:t xml:space="preserve">This reading has a practical implication for any country team running the diagnostic. The five-field structure of Part A is not just a documentation device; it is a political-economy instrument. A line that has been amended every year is a politically active line. A line untouched for a decade is a politically inactive line — usually because no organised constituency benefits from changing it. A line carrying a local-content discount is a producer-protection line in fiscal clothing. A line carrying an origin or import distinction is an industrial-policy line. The diagnostic’s job is not to adjudicate these political-economy choices but to surface them clearly enough that they can be addressed deliberately.</w:t>
      </w:r>
    </w:p>
    <w:bookmarkEnd w:id="113"/>
    <w:bookmarkEnd w:id="114"/>
    <w:bookmarkStart w:id="118" w:name="c5.-a-sequenced-reform-pathway"/>
    <w:p>
      <w:pPr>
        <w:pStyle w:val="Heading1"/>
      </w:pPr>
      <w:r>
        <w:t xml:space="preserve">C5. A sequenced reform pathway</w:t>
      </w:r>
    </w:p>
    <w:p>
      <w:pPr>
        <w:pStyle w:val="FirstParagraph"/>
      </w:pPr>
      <w:r>
        <w:t xml:space="preserve">Drawing together the Part A and Part B candidates, the comparator experience in C3, and the political-economy reading in C4, the reform pathway below sequences candidates by political tractability, fiscal yield, and administrative readiness. The pathway is templated rather than universal: in any given country, the candidates would be adjusted to local data. The structure — three years, one anchor reform per year, with smaller reforms layered alongside — is intended as a default.</w:t>
      </w:r>
    </w:p>
    <w:bookmarkStart w:id="115" w:name="c5.1-the-three-year-package"/>
    <w:p>
      <w:pPr>
        <w:pStyle w:val="Heading3"/>
      </w:pPr>
      <w:r>
        <w:t xml:space="preserve">C5.1 The three-year package</w:t>
      </w:r>
    </w:p>
    <w:tbl>
      <w:tblPr>
        <w:tblStyle w:val="Table"/>
        <w:tblW w:type="pct" w:w="4980"/>
        <w:tblLayout w:type="fixed"/>
        <w:tblLook w:firstRow="1" w:lastRow="0" w:firstColumn="0" w:lastColumn="0" w:noHBand="0" w:noVBand="0" w:val="0020"/>
      </w:tblPr>
      <w:tblGrid>
        <w:gridCol w:w="209"/>
        <w:gridCol w:w="3290"/>
        <w:gridCol w:w="2532"/>
        <w:gridCol w:w="1854"/>
      </w:tblGrid>
      <w:tr>
        <w:trPr>
          <w:tblHeader w:val="on"/>
        </w:trPr>
        <w:tc>
          <w:tcPr/>
          <w:p>
            <w:pPr>
              <w:pStyle w:val="Compact"/>
              <w:jc w:val="left"/>
            </w:pPr>
            <w:r>
              <w:rPr>
                <w:b/>
                <w:bCs/>
              </w:rPr>
              <w:t xml:space="preserve">Year</w:t>
            </w:r>
          </w:p>
        </w:tc>
        <w:tc>
          <w:tcPr/>
          <w:p>
            <w:pPr>
              <w:pStyle w:val="Compact"/>
              <w:jc w:val="left"/>
            </w:pPr>
            <w:r>
              <w:rPr>
                <w:b/>
                <w:bCs/>
              </w:rPr>
              <w:t xml:space="preserve">Anchor reform</w:t>
            </w:r>
          </w:p>
        </w:tc>
        <w:tc>
          <w:tcPr/>
          <w:p>
            <w:pPr>
              <w:pStyle w:val="Compact"/>
              <w:jc w:val="left"/>
            </w:pPr>
            <w:r>
              <w:rPr>
                <w:b/>
                <w:bCs/>
              </w:rPr>
              <w:t xml:space="preserve">Companion reforms</w:t>
            </w:r>
          </w:p>
        </w:tc>
        <w:tc>
          <w:tcPr/>
          <w:p>
            <w:pPr>
              <w:pStyle w:val="Compact"/>
              <w:jc w:val="left"/>
            </w:pPr>
            <w:r>
              <w:rPr>
                <w:b/>
                <w:bCs/>
              </w:rPr>
              <w:t xml:space="preserve">Yield / framing</w:t>
            </w:r>
          </w:p>
        </w:tc>
      </w:tr>
      <w:tr>
        <w:tc>
          <w:tcPr/>
          <w:p>
            <w:pPr>
              <w:pStyle w:val="Compact"/>
              <w:jc w:val="left"/>
            </w:pPr>
            <w:r>
              <w:rPr>
                <w:b/>
                <w:bCs/>
              </w:rPr>
              <w:t xml:space="preserve">Year 1</w:t>
            </w:r>
          </w:p>
        </w:tc>
        <w:tc>
          <w:tcPr/>
          <w:p>
            <w:pPr>
              <w:pStyle w:val="Compact"/>
              <w:jc w:val="left"/>
            </w:pPr>
            <w:r>
              <w:t xml:space="preserve">Diesel-tax closure, step 1 (e.g. USD 0.15 / litre). Recycling design announced simultaneously: 30 per cent of new revenue into a flat per-household transfer through existing social-protection channels.</w:t>
            </w:r>
          </w:p>
        </w:tc>
        <w:tc>
          <w:tcPr/>
          <w:p>
            <w:pPr>
              <w:pStyle w:val="Compact"/>
              <w:jc w:val="left"/>
            </w:pPr>
            <w:r>
              <w:t xml:space="preserve">Tobacco rate increase (where domestic production is absent or weak); wine redenomination (where applicable); first move on SSB graduation.</w:t>
            </w:r>
          </w:p>
        </w:tc>
        <w:tc>
          <w:tcPr/>
          <w:p>
            <w:pPr>
              <w:pStyle w:val="Compact"/>
              <w:jc w:val="left"/>
            </w:pPr>
            <w:r>
              <w:t xml:space="preserve">Approximately 0.3 to 0.5 per cent of GDP at full step. Framing: health and road safety, not climate.</w:t>
            </w:r>
          </w:p>
        </w:tc>
      </w:tr>
      <w:tr>
        <w:tc>
          <w:tcPr/>
          <w:p>
            <w:pPr>
              <w:pStyle w:val="Compact"/>
              <w:jc w:val="left"/>
            </w:pPr>
            <w:r>
              <w:rPr>
                <w:b/>
                <w:bCs/>
              </w:rPr>
              <w:t xml:space="preserve">Year 2</w:t>
            </w:r>
          </w:p>
        </w:tc>
        <w:tc>
          <w:tcPr/>
          <w:p>
            <w:pPr>
              <w:pStyle w:val="Compact"/>
              <w:jc w:val="left"/>
            </w:pPr>
            <w:r>
              <w:t xml:space="preserve">Diesel-tax closure, step 2 (further USD 0.15 / litre). Per-household transfer institutionalised as a permanent indexed component of the social safety net.</w:t>
            </w:r>
          </w:p>
        </w:tc>
        <w:tc>
          <w:tcPr/>
          <w:p>
            <w:pPr>
              <w:pStyle w:val="Compact"/>
              <w:jc w:val="left"/>
            </w:pPr>
            <w:r>
              <w:t xml:space="preserve">Emissions-and-weight feebate on imported vehicles. Full sugar-content-graduated SSB excise (e.g. UK SDIL design). Indexation of specific rates introduced.</w:t>
            </w:r>
          </w:p>
        </w:tc>
        <w:tc>
          <w:tcPr/>
          <w:p>
            <w:pPr>
              <w:pStyle w:val="Compact"/>
              <w:jc w:val="left"/>
            </w:pPr>
            <w:r>
              <w:t xml:space="preserve">Additional approximately 0.3 to 0.4 per cent of GDP. Framing: revenue stability and fleet modernisation.</w:t>
            </w:r>
          </w:p>
        </w:tc>
      </w:tr>
      <w:tr>
        <w:tc>
          <w:tcPr/>
          <w:p>
            <w:pPr>
              <w:pStyle w:val="Compact"/>
              <w:jc w:val="left"/>
            </w:pPr>
            <w:r>
              <w:rPr>
                <w:b/>
                <w:bCs/>
              </w:rPr>
              <w:t xml:space="preserve">Year 3</w:t>
            </w:r>
          </w:p>
        </w:tc>
        <w:tc>
          <w:tcPr/>
          <w:p>
            <w:pPr>
              <w:pStyle w:val="Compact"/>
              <w:jc w:val="left"/>
            </w:pPr>
            <w:r>
              <w:t xml:space="preserve">Diesel-tax closure, step 3 (USD 0.20 / litre). Closes roughly two-thirds of the original gap.</w:t>
            </w:r>
          </w:p>
        </w:tc>
        <w:tc>
          <w:tcPr/>
          <w:p>
            <w:pPr>
              <w:pStyle w:val="Compact"/>
              <w:jc w:val="left"/>
            </w:pPr>
            <w:r>
              <w:t xml:space="preserve">Scoping of distance-based heavy-goods-vehicle charge. Diagnostic update with new exposure and accident data.</w:t>
            </w:r>
          </w:p>
        </w:tc>
        <w:tc>
          <w:tcPr/>
          <w:p>
            <w:pPr>
              <w:pStyle w:val="Compact"/>
              <w:jc w:val="left"/>
            </w:pPr>
            <w:r>
              <w:t xml:space="preserve">Final approximately 0.3 to 0.4 per cent of GDP. Framing: international convergence and CBAM exposure management.</w:t>
            </w:r>
          </w:p>
        </w:tc>
      </w:tr>
    </w:tbl>
    <w:p>
      <w:pPr>
        <w:pStyle w:val="BodyText"/>
      </w:pPr>
      <w:r>
        <w:t xml:space="preserve">The package raises an estimated 0.9 to 1.3 per cent of GDP in additional revenue at full implementation. The bottom quintile is better off in net terms once the per-household transfer is in place. The implicit-subsidy gap is approximately halved; full closure would require complementary instruments beyond fuel taxation (heavy-goods-vehicle charges, urban congestion pricing, vehicle-stock turnover policy). These are flagged for a future diagnostic update rather than for the current cycle.</w:t>
      </w:r>
    </w:p>
    <w:bookmarkEnd w:id="115"/>
    <w:bookmarkStart w:id="116" w:name="c5.2-country-specific-tailoring"/>
    <w:p>
      <w:pPr>
        <w:pStyle w:val="Heading3"/>
      </w:pPr>
      <w:r>
        <w:t xml:space="preserve">C5.2 Country-specific tailoring</w:t>
      </w:r>
    </w:p>
    <w:p>
      <w:pPr>
        <w:pStyle w:val="FirstParagraph"/>
      </w:pPr>
      <w:r>
        <w:t xml:space="preserve">The three-year template adapts to country-specific findings from Parts A and B. Three illustrative tailorings:</w:t>
      </w:r>
    </w:p>
    <w:p>
      <w:pPr>
        <w:numPr>
          <w:ilvl w:val="0"/>
          <w:numId w:val="1013"/>
        </w:numPr>
      </w:pPr>
      <w:r>
        <w:rPr>
          <w:b/>
          <w:bCs/>
        </w:rPr>
        <w:t xml:space="preserve">Uganda.</w:t>
      </w:r>
      <w:r>
        <w:t xml:space="preserve"> </w:t>
      </w:r>
      <w:r>
        <w:t xml:space="preserve">Anchor diesel reform is supportable (Uganda runs closer to OECD intensity than Sierra Leone but still substantially below). SSB graduation is high priority (flat 12 per cent or UGX 250 per litre is the largest gap to peers). Tobacco reform is harder in year one because domestic production is politically organised; the FA2025 discrimination between locally manufactured and imported tiers is the workable path. Indexation should be introduced in year two given the long erosion-and-restoration history visible in Appendix B.</w:t>
      </w:r>
    </w:p>
    <w:p>
      <w:pPr>
        <w:numPr>
          <w:ilvl w:val="0"/>
          <w:numId w:val="1013"/>
        </w:numPr>
      </w:pPr>
      <w:r>
        <w:rPr>
          <w:b/>
          <w:bCs/>
        </w:rPr>
        <w:t xml:space="preserve">Sierra Leone.</w:t>
      </w:r>
      <w:r>
        <w:t xml:space="preserve"> </w:t>
      </w:r>
      <w:r>
        <w:t xml:space="preserve">Wine redenomination is the year-one transparency win. Tobacco rate convergence toward Uganda’s lowest tier is politically straightforward (no domestic production). SSB excise needs to be introduced from a low base — currently only energy drinks and imported juice are taxed. Diesel reform is fiscally material (current 18 per cent of pump price has more headroom than Uganda’s 30 per cent) but requires the recycling design to be in place first.</w:t>
      </w:r>
    </w:p>
    <w:p>
      <w:pPr>
        <w:numPr>
          <w:ilvl w:val="0"/>
          <w:numId w:val="1013"/>
        </w:numPr>
      </w:pPr>
      <w:r>
        <w:rPr>
          <w:b/>
          <w:bCs/>
        </w:rPr>
        <w:t xml:space="preserve">Tier 1 settings (Colombia, Chile, South Africa).</w:t>
      </w:r>
      <w:r>
        <w:t xml:space="preserve"> </w:t>
      </w:r>
      <w:r>
        <w:t xml:space="preserve">Anchor reform shifts from diesel-tax closure (which is closer to its corrective rate) toward the carbon component on fuels. The framing shifts from health and safety toward climate, supported by the more developed domestic climate-policy debate. Vehicle-stock vintage modelling becomes essential. The compensation design uses more sophisticated targeting through existing tax-credit infrastructure rather than flat per-household transfers.</w:t>
      </w:r>
    </w:p>
    <w:bookmarkEnd w:id="116"/>
    <w:bookmarkStart w:id="117" w:name="c5.3-what-the-pathway-does-not-attempt"/>
    <w:p>
      <w:pPr>
        <w:pStyle w:val="Heading3"/>
      </w:pPr>
      <w:r>
        <w:t xml:space="preserve">C5.3 What the pathway does not attempt</w:t>
      </w:r>
    </w:p>
    <w:p>
      <w:pPr>
        <w:pStyle w:val="FirstParagraph"/>
      </w:pPr>
      <w:r>
        <w:t xml:space="preserve">Three reforms regularly raised in the externality literature are deliberately not included as anchors in the three-year package. They are flagged here as candidates for a longer reform horizon.</w:t>
      </w:r>
    </w:p>
    <w:p>
      <w:pPr>
        <w:numPr>
          <w:ilvl w:val="0"/>
          <w:numId w:val="1014"/>
        </w:numPr>
      </w:pPr>
      <w:r>
        <w:rPr>
          <w:b/>
          <w:bCs/>
        </w:rPr>
        <w:t xml:space="preserve">Comprehensive carbon tax.</w:t>
      </w:r>
      <w:r>
        <w:t xml:space="preserve"> </w:t>
      </w:r>
      <w:r>
        <w:t xml:space="preserve">A standalone carbon tax covering multiple sectors is institutionally more demanding than a carbon component on fuels and faces a steeper political hurdle. Most LICs would do better to introduce a carbon component on fuels first and broaden later. The diagnostic flags the comprehensive instrument as a longer-term direction rather than a three-year reform.</w:t>
      </w:r>
    </w:p>
    <w:p>
      <w:pPr>
        <w:numPr>
          <w:ilvl w:val="0"/>
          <w:numId w:val="1014"/>
        </w:numPr>
      </w:pPr>
      <w:r>
        <w:rPr>
          <w:b/>
          <w:bCs/>
        </w:rPr>
        <w:t xml:space="preserve">Congestion pricing.</w:t>
      </w:r>
      <w:r>
        <w:t xml:space="preserve"> </w:t>
      </w:r>
      <w:r>
        <w:t xml:space="preserve">Administratively demanding; politically contentious; well-suited only to a small number of larger cities. The diagnostic notes congestion as a known externality but does not include congestion pricing in the three-year package for most countries.</w:t>
      </w:r>
    </w:p>
    <w:p>
      <w:pPr>
        <w:numPr>
          <w:ilvl w:val="0"/>
          <w:numId w:val="1014"/>
        </w:numPr>
      </w:pPr>
      <w:r>
        <w:rPr>
          <w:b/>
          <w:bCs/>
        </w:rPr>
        <w:t xml:space="preserve">Full vehicle-stock turnover policy.</w:t>
      </w:r>
      <w:r>
        <w:t xml:space="preserve"> </w:t>
      </w:r>
      <w:r>
        <w:t xml:space="preserve">A coordinated package of import duties, age-based registration fees, scrappage incentives and emissions standards is the right answer to the vehicle-stock problem in the long run. In the three-year package, the feebate is the first move; the rest takes longer.</w:t>
      </w:r>
    </w:p>
    <w:bookmarkEnd w:id="117"/>
    <w:bookmarkEnd w:id="118"/>
    <w:bookmarkStart w:id="119" w:name="c6.-conclusion-of-part-c"/>
    <w:p>
      <w:pPr>
        <w:pStyle w:val="Heading1"/>
      </w:pPr>
      <w:r>
        <w:t xml:space="preserve">C6. Conclusion of Part C</w:t>
      </w:r>
    </w:p>
    <w:p>
      <w:pPr>
        <w:pStyle w:val="FirstParagraph"/>
      </w:pPr>
      <w:r>
        <w:t xml:space="preserve">Part C’s contribution is sequencing. The substantive findings come from Parts A and B; the comparator references come from the international and national-practice review in Part B (sections B2 and B3); the political-economy reading comes from the schedule and externality decomposition themselves, not from new analysis. Part C’s value is in joining these inputs together into a reform pathway that survives contact with politics.</w:t>
      </w:r>
    </w:p>
    <w:p>
      <w:pPr>
        <w:pStyle w:val="BodyText"/>
      </w:pPr>
      <w:r>
        <w:t xml:space="preserve">Three observations close the section. First, the reform pathway is not normative. It is templated. Country teams running the diagnostic can — and should — depart from the template where local conditions warrant. The discipline is in the inputs (the Part A and Part B findings, the comparator references, the political-economy reading) rather than in the output (the three-year sequence).</w:t>
      </w:r>
    </w:p>
    <w:p>
      <w:pPr>
        <w:pStyle w:val="BodyText"/>
      </w:pPr>
      <w:r>
        <w:t xml:space="preserve">Second, the pathway is incremental rather than transformative. None of the year-one reforms is structurally novel; all are extensions of existing schedule architecture or implementations of designs proven in comparator countries. This is by design. Transformative reforms have a poor track record in LIC settings; incremental reforms with strong recycling and clear framing have a better one.</w:t>
      </w:r>
    </w:p>
    <w:p>
      <w:pPr>
        <w:pStyle w:val="BodyText"/>
      </w:pPr>
      <w:r>
        <w:t xml:space="preserve">Third, the pathway is a starting point for country dialogue, not a finished product. The diagnostic does not negotiate compensation packages, draft Finance Bills, or design social-protection delivery infrastructure. It identifies which reforms are tractable, in what sequence, with what comparator backing. The rest is the work of the country team and its government counterparts.</w:t>
      </w:r>
    </w:p>
    <w:bookmarkEnd w:id="119"/>
    <w:bookmarkStart w:id="122" w:name="next-steps"/>
    <w:p>
      <w:pPr>
        <w:pStyle w:val="Heading1"/>
      </w:pPr>
      <w:r>
        <w:t xml:space="preserve">Next steps</w:t>
      </w:r>
    </w:p>
    <w:p>
      <w:pPr>
        <w:pStyle w:val="FirstParagraph"/>
      </w:pPr>
      <w:r>
        <w:t xml:space="preserve">Moving from concept to product does not require building the whole three-part diagnostic at once. The two parts sit at very different levels of readiness, and the sensible path is to ship the part that is ready and to integrate the part that is not into processes that already exist.</w:t>
      </w:r>
    </w:p>
    <w:bookmarkStart w:id="120" w:name="start-with-a-simplified-part-a"/>
    <w:p>
      <w:pPr>
        <w:pStyle w:val="Heading2"/>
      </w:pPr>
      <w:r>
        <w:t xml:space="preserve">Start with a simplified Part A</w:t>
      </w:r>
    </w:p>
    <w:p>
      <w:pPr>
        <w:pStyle w:val="FirstParagraph"/>
      </w:pPr>
      <w:r>
        <w:t xml:space="preserve">Part A is the immediate opportunity. It needs no new modelling capacity, no new valuation parameters, and no cross-team data exchange: it is the disciplined reading of an excise schedule that the two pilots (Uganda and Sierra Leone) already demonstrate. A simplified Part A could be standardised and rolled out quickly with a light apparatus.</w:t>
      </w:r>
    </w:p>
    <w:p>
      <w:pPr>
        <w:numPr>
          <w:ilvl w:val="0"/>
          <w:numId w:val="1015"/>
        </w:numPr>
      </w:pPr>
      <w:r>
        <w:rPr>
          <w:b/>
          <w:bCs/>
        </w:rPr>
        <w:t xml:space="preserve">A fixed template and parameter sheet.</w:t>
      </w:r>
      <w:r>
        <w:t xml:space="preserve"> </w:t>
      </w:r>
      <w:r>
        <w:t xml:space="preserve">Codify the five recording fields and the three comparable measures ($/unit, % of consumer price, % of GDP) in a Word template populated from a single parameter spreadsheet — working exchange rates, representative prices, volumes and the GDP denominator — so a country team fills inputs rather than rebuilding the method.</w:t>
      </w:r>
    </w:p>
    <w:p>
      <w:pPr>
        <w:numPr>
          <w:ilvl w:val="0"/>
          <w:numId w:val="1015"/>
        </w:numPr>
      </w:pPr>
      <w:r>
        <w:rPr>
          <w:b/>
          <w:bCs/>
        </w:rPr>
        <w:t xml:space="preserve">A minimum viable diagnostic.</w:t>
      </w:r>
      <w:r>
        <w:t xml:space="preserve"> </w:t>
      </w:r>
      <w:r>
        <w:t xml:space="preserve">For a first pass, require only the questions that the schedule alone can answer — coverage, structure, intensity and erosion (Q1–Q3, Q5). Benchmarking and coherence (Q4, Q6) and price tracking (Q7) are added as data allow, matching the “required” versus “case-dependent” split in the PFR table in the executive summary.</w:t>
      </w:r>
    </w:p>
    <w:p>
      <w:pPr>
        <w:numPr>
          <w:ilvl w:val="0"/>
          <w:numId w:val="1015"/>
        </w:numPr>
      </w:pPr>
      <w:r>
        <w:rPr>
          <w:b/>
          <w:bCs/>
        </w:rPr>
        <w:t xml:space="preserve">Reuse the pilots as worked models.</w:t>
      </w:r>
      <w:r>
        <w:t xml:space="preserve"> </w:t>
      </w:r>
      <w:r>
        <w:t xml:space="preserve">The Uganda and Sierra Leone diagnostics serve as templates; a third country should be reproducible in two to three weeks rather than months.</w:t>
      </w:r>
    </w:p>
    <w:p>
      <w:pPr>
        <w:numPr>
          <w:ilvl w:val="0"/>
          <w:numId w:val="1015"/>
        </w:numPr>
      </w:pPr>
      <w:r>
        <w:rPr>
          <w:b/>
          <w:bCs/>
        </w:rPr>
        <w:t xml:space="preserve">A shared tool inventory and a light visualisation.</w:t>
      </w:r>
      <w:r>
        <w:t xml:space="preserve"> </w:t>
      </w:r>
      <w:r>
        <w:t xml:space="preserve">List the analytical tools held by the climate and health teams on the excise-tax section of the website and, if feasible, surface the standardised Part A measures through a simple dashboard (a Power BI page or a PFR Visualisation Tool input) rather than a bespoke build.</w:t>
      </w:r>
    </w:p>
    <w:bookmarkEnd w:id="120"/>
    <w:bookmarkStart w:id="121" w:name="X0849875033287516ca30716d13cbbc3efb376e9"/>
    <w:p>
      <w:pPr>
        <w:pStyle w:val="Heading2"/>
      </w:pPr>
      <w:r>
        <w:t xml:space="preserve">Part B requires deeper integration with existing processes</w:t>
      </w:r>
    </w:p>
    <w:p>
      <w:pPr>
        <w:pStyle w:val="FirstParagraph"/>
      </w:pPr>
      <w:r>
        <w:t xml:space="preserve">Part B is not a quick rollout. Its value comes precisely from harmonising outputs that today live in separate programs — CPAT, the Climate and Health Program, IMF Getting Energy Prices Right — onto one valuation spine, and that harmonisation is an institutional task as much as an analytical one. Several of its key questions (Q8–Q23) can only be answered by drawing on data and models held by other teams.</w:t>
      </w:r>
    </w:p>
    <w:p>
      <w:pPr>
        <w:numPr>
          <w:ilvl w:val="0"/>
          <w:numId w:val="1016"/>
        </w:numPr>
      </w:pPr>
      <w:r>
        <w:rPr>
          <w:b/>
          <w:bCs/>
        </w:rPr>
        <w:t xml:space="preserve">Agree the valuation spine across teams.</w:t>
      </w:r>
      <w:r>
        <w:t xml:space="preserve"> </w:t>
      </w:r>
      <w:r>
        <w:t xml:space="preserve">A single value of statistical life, a single carbon shadow price and a single accident-cost set must be fixed once and adopted by all contributing teams — the discipline that gives the report its consistency.</w:t>
      </w:r>
    </w:p>
    <w:p>
      <w:pPr>
        <w:numPr>
          <w:ilvl w:val="0"/>
          <w:numId w:val="1016"/>
        </w:numPr>
      </w:pPr>
      <w:r>
        <w:rPr>
          <w:b/>
          <w:bCs/>
        </w:rPr>
        <w:t xml:space="preserve">Connect to CPAT and the Climate and Health Program as input pipelines.</w:t>
      </w:r>
      <w:r>
        <w:t xml:space="preserve"> </w:t>
      </w:r>
      <w:r>
        <w:t xml:space="preserve">Part B ingests rather than re-computes: incidence from the CPAT module, mortality and exposure from the Climate and Health Program, corrective-rate benchmarks from IMF GEPR. Each needs an agreed hand-off.</w:t>
      </w:r>
    </w:p>
    <w:p>
      <w:pPr>
        <w:numPr>
          <w:ilvl w:val="0"/>
          <w:numId w:val="1016"/>
        </w:numPr>
      </w:pPr>
      <w:r>
        <w:rPr>
          <w:b/>
          <w:bCs/>
        </w:rPr>
        <w:t xml:space="preserve">Settle the equity and tooling questions.</w:t>
      </w:r>
      <w:r>
        <w:t xml:space="preserve"> </w:t>
      </w:r>
      <w:r>
        <w:t xml:space="preserve">Confirm which household surveys can be reopened for health-tax incidence (feasible for tobacco and alcohol; SSBs may not be separable), and whether the joint output is delivered as a Power BI website or a PFR Visualisation Tool input.</w:t>
      </w:r>
    </w:p>
    <w:p>
      <w:pPr>
        <w:numPr>
          <w:ilvl w:val="0"/>
          <w:numId w:val="1016"/>
        </w:numPr>
      </w:pPr>
      <w:r>
        <w:rPr>
          <w:b/>
          <w:bCs/>
        </w:rPr>
        <w:t xml:space="preserve">Sequence Part B behind a Part A pilot.</w:t>
      </w:r>
      <w:r>
        <w:t xml:space="preserve"> </w:t>
      </w:r>
      <w:r>
        <w:t xml:space="preserve">A natural order is to ship simplified Part A first, then layer Part B for the Tier 1 pilot (Colombia or Chile) and the Tier 2 pilot (Uganda) once the input pipelines and the valuation spine are in place.</w:t>
      </w:r>
    </w:p>
    <w:p>
      <w:pPr>
        <w:pStyle w:val="FirstParagraph"/>
      </w:pPr>
      <w:r>
        <w:t xml:space="preserve">In short: Part A can be simplified and shipped on its own; Part B should be built into the existing climate and health workflows rather than bolted on. Appendix D sets out, capacity by capacity, what each program already holds and where in this report the corresponding question is addressed.</w:t>
      </w:r>
    </w:p>
    <w:bookmarkEnd w:id="121"/>
    <w:bookmarkEnd w:id="122"/>
    <w:bookmarkStart w:id="125" w:name="appendix-a.-the-full-diagnostics"/>
    <w:p>
      <w:pPr>
        <w:pStyle w:val="Heading1"/>
      </w:pPr>
      <w:r>
        <w:t xml:space="preserve">Appendix A. The full diagnostics</w:t>
      </w:r>
    </w:p>
    <w:p>
      <w:pPr>
        <w:pStyle w:val="FirstParagraph"/>
      </w:pPr>
      <w:r>
        <w:t xml:space="preserve">Both diagnostics use the five-column structure described in section A3.3. The structure-and-differentiation column compresses three of the five fields. Rows are organised by the seven-category typology of section A3.2.</w:t>
      </w:r>
    </w:p>
    <w:bookmarkStart w:id="123" w:name="X80932bbc0ea83b96e1f49379ba062e8fbdba868"/>
    <w:p>
      <w:pPr>
        <w:pStyle w:val="Heading2"/>
      </w:pPr>
      <w:r>
        <w:t xml:space="preserve">A.1 Uganda — Excise Duty Act, 2014 as amended through the Excise Duty (Amendment) Acts, 2025</w:t>
      </w:r>
    </w:p>
    <w:p>
      <w:pPr>
        <w:pStyle w:val="FirstParagraph"/>
      </w:pPr>
      <w:r>
        <w:t xml:space="preserve">Uganda’s schedule sits in Schedule 2 of the Excise Duty Act, 2014. The Act has been amended every year since 2015. The current legal position reflects the Excise Duty (Amendment) Acts (No. 1) and (No. 2), 2025, both assented to by the President on 30 June 2025 and effective from 1 July 2025. The Excise Duty (Amendment) Bill, 2026 has been passed by Parliament but, as of 27 April 2026, has not received presidential assent and is therefore not in force.</w:t>
      </w:r>
    </w:p>
    <w:tbl>
      <w:tblPr>
        <w:tblStyle w:val="Table"/>
        <w:tblW w:type="pct" w:w="4964"/>
        <w:tblLayout w:type="fixed"/>
        <w:tblLook w:firstRow="1" w:lastRow="0" w:firstColumn="0" w:lastColumn="0" w:noHBand="0" w:noVBand="0" w:val="0020"/>
      </w:tblPr>
      <w:tblGrid>
        <w:gridCol w:w="652"/>
        <w:gridCol w:w="1447"/>
        <w:gridCol w:w="965"/>
        <w:gridCol w:w="2015"/>
        <w:gridCol w:w="2781"/>
      </w:tblGrid>
      <w:tr>
        <w:trPr>
          <w:tblHeader w:val="on"/>
        </w:trPr>
        <w:tc>
          <w:tcPr/>
          <w:p>
            <w:pPr>
              <w:pStyle w:val="Compact"/>
              <w:jc w:val="left"/>
            </w:pPr>
            <w:r>
              <w:rPr>
                <w:b/>
                <w:bCs/>
              </w:rPr>
              <w:t xml:space="preserve">Category</w:t>
            </w:r>
          </w:p>
        </w:tc>
        <w:tc>
          <w:tcPr/>
          <w:p>
            <w:pPr>
              <w:pStyle w:val="Compact"/>
              <w:jc w:val="left"/>
            </w:pPr>
            <w:r>
              <w:rPr>
                <w:b/>
                <w:bCs/>
              </w:rPr>
              <w:t xml:space="preserve">Item</w:t>
            </w:r>
          </w:p>
        </w:tc>
        <w:tc>
          <w:tcPr/>
          <w:p>
            <w:pPr>
              <w:pStyle w:val="Compact"/>
              <w:jc w:val="left"/>
            </w:pPr>
            <w:r>
              <w:rPr>
                <w:b/>
                <w:bCs/>
              </w:rPr>
              <w:t xml:space="preserve">Current rate</w:t>
            </w:r>
          </w:p>
        </w:tc>
        <w:tc>
          <w:tcPr/>
          <w:p>
            <w:pPr>
              <w:pStyle w:val="Compact"/>
              <w:jc w:val="left"/>
            </w:pPr>
            <w:r>
              <w:rPr>
                <w:b/>
                <w:bCs/>
              </w:rPr>
              <w:t xml:space="preserve">Structure &amp; differentiation</w:t>
            </w:r>
          </w:p>
        </w:tc>
        <w:tc>
          <w:tcPr/>
          <w:p>
            <w:pPr>
              <w:pStyle w:val="Compact"/>
              <w:jc w:val="left"/>
            </w:pPr>
            <w:r>
              <w:rPr>
                <w:b/>
                <w:bCs/>
              </w:rPr>
              <w:t xml:space="preserve">Recent changes</w:t>
            </w:r>
          </w:p>
        </w:tc>
      </w:tr>
      <w:tr>
        <w:tc>
          <w:tcPr/>
          <w:p>
            <w:pPr>
              <w:pStyle w:val="Compact"/>
              <w:jc w:val="left"/>
            </w:pPr>
            <w:r>
              <w:rPr>
                <w:b/>
                <w:bCs/>
              </w:rPr>
              <w:t xml:space="preserve">Energy</w:t>
            </w:r>
          </w:p>
        </w:tc>
        <w:tc>
          <w:tcPr/>
          <w:p>
            <w:pPr>
              <w:pStyle w:val="Compact"/>
              <w:jc w:val="left"/>
            </w:pPr>
            <w:r>
              <w:t xml:space="preserve">Petrol (motor spirit)</w:t>
            </w:r>
          </w:p>
        </w:tc>
        <w:tc>
          <w:tcPr/>
          <w:p>
            <w:pPr>
              <w:pStyle w:val="Compact"/>
              <w:jc w:val="left"/>
            </w:pPr>
            <w:r>
              <w:t xml:space="preserve">UGX 1,550 / litre</w:t>
            </w:r>
          </w:p>
        </w:tc>
        <w:tc>
          <w:tcPr/>
          <w:p>
            <w:pPr>
              <w:pStyle w:val="Compact"/>
              <w:jc w:val="left"/>
            </w:pPr>
            <w:r>
              <w:t xml:space="preserve">Specific</w:t>
            </w:r>
          </w:p>
        </w:tc>
        <w:tc>
          <w:tcPr/>
          <w:p>
            <w:pPr>
              <w:pStyle w:val="Compact"/>
              <w:jc w:val="left"/>
            </w:pPr>
            <w:r>
              <w:t xml:space="preserve">+UGX 100 in FA2024 (1,450→1,550). FA2025 proposed +100 was rescinded. 2026 Bill proposes 1,750.</w:t>
            </w:r>
          </w:p>
        </w:tc>
      </w:tr>
      <w:tr>
        <w:tc>
          <w:tcPr/>
          <w:p>
            <w:pPr>
              <w:pStyle w:val="Compact"/>
              <w:jc w:val="left"/>
            </w:pPr>
            <w:r>
              <w:rPr>
                <w:b/>
                <w:bCs/>
              </w:rPr>
              <w:t xml:space="preserve">Energy</w:t>
            </w:r>
          </w:p>
        </w:tc>
        <w:tc>
          <w:tcPr/>
          <w:p>
            <w:pPr>
              <w:pStyle w:val="Compact"/>
              <w:jc w:val="left"/>
            </w:pPr>
            <w:r>
              <w:t xml:space="preserve">Diesel (gas oil, automotive)</w:t>
            </w:r>
          </w:p>
        </w:tc>
        <w:tc>
          <w:tcPr/>
          <w:p>
            <w:pPr>
              <w:pStyle w:val="Compact"/>
              <w:jc w:val="left"/>
            </w:pPr>
            <w:r>
              <w:t xml:space="preserve">UGX 1,230 / litre</w:t>
            </w:r>
          </w:p>
        </w:tc>
        <w:tc>
          <w:tcPr/>
          <w:p>
            <w:pPr>
              <w:pStyle w:val="Compact"/>
              <w:jc w:val="left"/>
            </w:pPr>
            <w:r>
              <w:t xml:space="preserve">Specific. Power-grid generation: nil</w:t>
            </w:r>
          </w:p>
        </w:tc>
        <w:tc>
          <w:tcPr/>
          <w:p>
            <w:pPr>
              <w:pStyle w:val="Compact"/>
              <w:jc w:val="left"/>
            </w:pPr>
            <w:r>
              <w:t xml:space="preserve">+UGX 100 in FA2024 (1,130→1,230). 2026 Bill proposes 1,430.</w:t>
            </w:r>
          </w:p>
        </w:tc>
      </w:tr>
      <w:tr>
        <w:tc>
          <w:tcPr/>
          <w:p>
            <w:pPr>
              <w:pStyle w:val="Compact"/>
              <w:jc w:val="left"/>
            </w:pPr>
            <w:r>
              <w:rPr>
                <w:b/>
                <w:bCs/>
              </w:rPr>
              <w:t xml:space="preserve">Energy</w:t>
            </w:r>
          </w:p>
        </w:tc>
        <w:tc>
          <w:tcPr/>
          <w:p>
            <w:pPr>
              <w:pStyle w:val="Compact"/>
              <w:jc w:val="left"/>
            </w:pPr>
            <w:r>
              <w:t xml:space="preserve">Other gas oils</w:t>
            </w:r>
          </w:p>
        </w:tc>
        <w:tc>
          <w:tcPr/>
          <w:p>
            <w:pPr>
              <w:pStyle w:val="Compact"/>
              <w:jc w:val="left"/>
            </w:pPr>
            <w:r>
              <w:t xml:space="preserve">UGX 630 / litre</w:t>
            </w:r>
          </w:p>
        </w:tc>
        <w:tc>
          <w:tcPr/>
          <w:p>
            <w:pPr>
              <w:pStyle w:val="Compact"/>
              <w:jc w:val="left"/>
            </w:pPr>
            <w:r>
              <w:t xml:space="preserve">Specific</w:t>
            </w:r>
          </w:p>
        </w:tc>
        <w:tc>
          <w:tcPr/>
          <w:p>
            <w:pPr>
              <w:pStyle w:val="Compact"/>
              <w:jc w:val="left"/>
            </w:pPr>
            <w:r>
              <w:t xml:space="preserve">Stable since 2020.</w:t>
            </w:r>
          </w:p>
        </w:tc>
      </w:tr>
      <w:tr>
        <w:tc>
          <w:tcPr/>
          <w:p>
            <w:pPr>
              <w:pStyle w:val="Compact"/>
              <w:jc w:val="left"/>
            </w:pPr>
            <w:r>
              <w:rPr>
                <w:b/>
                <w:bCs/>
              </w:rPr>
              <w:t xml:space="preserve">Energy</w:t>
            </w:r>
          </w:p>
        </w:tc>
        <w:tc>
          <w:tcPr/>
          <w:p>
            <w:pPr>
              <w:pStyle w:val="Compact"/>
              <w:jc w:val="left"/>
            </w:pPr>
            <w:r>
              <w:t xml:space="preserve">Illuminating kerosene</w:t>
            </w:r>
          </w:p>
        </w:tc>
        <w:tc>
          <w:tcPr/>
          <w:p>
            <w:pPr>
              <w:pStyle w:val="Compact"/>
              <w:jc w:val="left"/>
            </w:pPr>
            <w:r>
              <w:t xml:space="preserve">UGX 200 / litre</w:t>
            </w:r>
          </w:p>
        </w:tc>
        <w:tc>
          <w:tcPr/>
          <w:p>
            <w:pPr>
              <w:pStyle w:val="Compact"/>
              <w:jc w:val="left"/>
            </w:pPr>
            <w:r>
              <w:t xml:space="preserve">Specific</w:t>
            </w:r>
          </w:p>
        </w:tc>
        <w:tc>
          <w:tcPr/>
          <w:p>
            <w:pPr>
              <w:pStyle w:val="Compact"/>
              <w:jc w:val="left"/>
            </w:pPr>
            <w:r>
              <w:t xml:space="preserve">Stable since 2020.</w:t>
            </w:r>
          </w:p>
        </w:tc>
      </w:tr>
      <w:tr>
        <w:tc>
          <w:tcPr/>
          <w:p>
            <w:pPr>
              <w:pStyle w:val="Compact"/>
              <w:jc w:val="left"/>
            </w:pPr>
            <w:r>
              <w:rPr>
                <w:b/>
                <w:bCs/>
              </w:rPr>
              <w:t xml:space="preserve">Energy</w:t>
            </w:r>
          </w:p>
        </w:tc>
        <w:tc>
          <w:tcPr/>
          <w:p>
            <w:pPr>
              <w:pStyle w:val="Compact"/>
              <w:jc w:val="left"/>
            </w:pPr>
            <w:r>
              <w:t xml:space="preserve">Jet A1 / aviation fuel</w:t>
            </w:r>
          </w:p>
        </w:tc>
        <w:tc>
          <w:tcPr/>
          <w:p>
            <w:pPr>
              <w:pStyle w:val="Compact"/>
              <w:jc w:val="left"/>
            </w:pPr>
            <w:r>
              <w:t xml:space="preserve">UGX 630 / litre</w:t>
            </w:r>
          </w:p>
        </w:tc>
        <w:tc>
          <w:tcPr/>
          <w:p>
            <w:pPr>
              <w:pStyle w:val="Compact"/>
              <w:jc w:val="left"/>
            </w:pPr>
            <w:r>
              <w:t xml:space="preserve">Specific. Registered airlines / supply contracts: nil</w:t>
            </w:r>
          </w:p>
        </w:tc>
        <w:tc>
          <w:tcPr/>
          <w:p>
            <w:pPr>
              <w:pStyle w:val="Compact"/>
              <w:jc w:val="left"/>
            </w:pPr>
            <w:r>
              <w:t xml:space="preserve">Stable since 2020.</w:t>
            </w:r>
          </w:p>
        </w:tc>
      </w:tr>
      <w:tr>
        <w:tc>
          <w:tcPr/>
          <w:p>
            <w:pPr>
              <w:pStyle w:val="Compact"/>
              <w:jc w:val="left"/>
            </w:pPr>
            <w:r>
              <w:rPr>
                <w:b/>
                <w:bCs/>
              </w:rPr>
              <w:t xml:space="preserve">Environment</w:t>
            </w:r>
          </w:p>
        </w:tc>
        <w:tc>
          <w:tcPr/>
          <w:p>
            <w:pPr>
              <w:pStyle w:val="Compact"/>
              <w:jc w:val="left"/>
            </w:pPr>
            <w:r>
              <w:t xml:space="preserve">Plastics / plastic granules</w:t>
            </w:r>
          </w:p>
        </w:tc>
        <w:tc>
          <w:tcPr/>
          <w:p>
            <w:pPr>
              <w:pStyle w:val="Compact"/>
              <w:jc w:val="left"/>
            </w:pPr>
            <w:r>
              <w:t xml:space="preserve">2.5% OR USD 70 / tonne</w:t>
            </w:r>
          </w:p>
        </w:tc>
        <w:tc>
          <w:tcPr/>
          <w:p>
            <w:pPr>
              <w:pStyle w:val="Compact"/>
              <w:jc w:val="left"/>
            </w:pPr>
            <w:r>
              <w:t xml:space="preserve">Hybrid (higher-of)</w:t>
            </w:r>
          </w:p>
        </w:tc>
        <w:tc>
          <w:tcPr/>
          <w:p>
            <w:pPr>
              <w:pStyle w:val="Compact"/>
              <w:jc w:val="left"/>
            </w:pPr>
            <w:r>
              <w:t xml:space="preserve">Stable. 2026 Bill proposes 25% OR USD 1,500/tonne with widened base.</w:t>
            </w:r>
          </w:p>
        </w:tc>
      </w:tr>
      <w:tr>
        <w:tc>
          <w:tcPr/>
          <w:p>
            <w:pPr>
              <w:pStyle w:val="Compact"/>
              <w:jc w:val="left"/>
            </w:pPr>
            <w:r>
              <w:rPr>
                <w:b/>
                <w:bCs/>
              </w:rPr>
              <w:t xml:space="preserve">Environment</w:t>
            </w:r>
          </w:p>
        </w:tc>
        <w:tc>
          <w:tcPr/>
          <w:p>
            <w:pPr>
              <w:pStyle w:val="Compact"/>
              <w:jc w:val="left"/>
            </w:pPr>
            <w:r>
              <w:t xml:space="preserve">Plastic bags / polyethylene sacks</w:t>
            </w:r>
          </w:p>
        </w:tc>
        <w:tc>
          <w:tcPr/>
          <w:p>
            <w:pPr>
              <w:pStyle w:val="Compact"/>
              <w:jc w:val="left"/>
            </w:pPr>
            <w:r>
              <w:t xml:space="preserve">UGX 10,000 / kg</w:t>
            </w:r>
          </w:p>
        </w:tc>
        <w:tc>
          <w:tcPr/>
          <w:p>
            <w:pPr>
              <w:pStyle w:val="Compact"/>
              <w:jc w:val="left"/>
            </w:pPr>
            <w:r>
              <w:t xml:space="preserve">Specific. Sanitary-pad and food/juice packaging exempt</w:t>
            </w:r>
          </w:p>
        </w:tc>
        <w:tc>
          <w:tcPr/>
          <w:p>
            <w:pPr>
              <w:pStyle w:val="Compact"/>
              <w:jc w:val="left"/>
            </w:pPr>
            <w:r>
              <w:t xml:space="preserve">Introduced FA2020.</w:t>
            </w:r>
          </w:p>
        </w:tc>
      </w:tr>
      <w:tr>
        <w:tc>
          <w:tcPr/>
          <w:p>
            <w:pPr>
              <w:pStyle w:val="Compact"/>
              <w:jc w:val="left"/>
            </w:pPr>
            <w:r>
              <w:rPr>
                <w:b/>
                <w:bCs/>
              </w:rPr>
              <w:t xml:space="preserve">Transport</w:t>
            </w:r>
          </w:p>
        </w:tc>
        <w:tc>
          <w:tcPr/>
          <w:p>
            <w:pPr>
              <w:pStyle w:val="Compact"/>
              <w:jc w:val="left"/>
            </w:pPr>
            <w:r>
              <w:t xml:space="preserve">Motorcycles, first registration</w:t>
            </w:r>
          </w:p>
        </w:tc>
        <w:tc>
          <w:tcPr/>
          <w:p>
            <w:pPr>
              <w:pStyle w:val="Compact"/>
              <w:jc w:val="left"/>
            </w:pPr>
            <w:r>
              <w:t xml:space="preserve">UGX 200,000</w:t>
            </w:r>
          </w:p>
        </w:tc>
        <w:tc>
          <w:tcPr/>
          <w:p>
            <w:pPr>
              <w:pStyle w:val="Compact"/>
              <w:jc w:val="left"/>
            </w:pPr>
            <w:r>
              <w:t xml:space="preserve">Specific lump sum</w:t>
            </w:r>
          </w:p>
        </w:tc>
        <w:tc>
          <w:tcPr/>
          <w:p>
            <w:pPr>
              <w:pStyle w:val="Compact"/>
              <w:jc w:val="left"/>
            </w:pPr>
            <w:r>
              <w:t xml:space="preserve">Stable since 2018. 2026 Bill proposes 500,000.</w:t>
            </w:r>
          </w:p>
        </w:tc>
      </w:tr>
      <w:tr>
        <w:tc>
          <w:tcPr/>
          <w:p>
            <w:pPr>
              <w:pStyle w:val="Compact"/>
              <w:jc w:val="left"/>
            </w:pPr>
            <w:r>
              <w:rPr>
                <w:b/>
                <w:bCs/>
              </w:rPr>
              <w:t xml:space="preserve">Health (tobacco)</w:t>
            </w:r>
          </w:p>
        </w:tc>
        <w:tc>
          <w:tcPr/>
          <w:p>
            <w:pPr>
              <w:pStyle w:val="Compact"/>
              <w:jc w:val="left"/>
            </w:pPr>
            <w:r>
              <w:t xml:space="preserve">Cigarettes — soft cap, locally manufactured</w:t>
            </w:r>
          </w:p>
        </w:tc>
        <w:tc>
          <w:tcPr/>
          <w:p>
            <w:pPr>
              <w:pStyle w:val="Compact"/>
              <w:jc w:val="left"/>
            </w:pPr>
            <w:r>
              <w:t xml:space="preserve">UGX 65,000 / 1,000 sticks</w:t>
            </w:r>
          </w:p>
        </w:tc>
        <w:tc>
          <w:tcPr/>
          <w:p>
            <w:pPr>
              <w:pStyle w:val="Compact"/>
              <w:jc w:val="left"/>
            </w:pPr>
            <w:r>
              <w:t xml:space="preserve">Specific. By origin &amp; pack type</w:t>
            </w:r>
          </w:p>
        </w:tc>
        <w:tc>
          <w:tcPr/>
          <w:p>
            <w:pPr>
              <w:pStyle w:val="Compact"/>
              <w:jc w:val="left"/>
            </w:pPr>
            <w:r>
              <w:t xml:space="preserve">Raised from 55,000 in FA2025 (first change since FY2017/18).</w:t>
            </w:r>
          </w:p>
        </w:tc>
      </w:tr>
      <w:tr>
        <w:tc>
          <w:tcPr/>
          <w:p>
            <w:pPr>
              <w:pStyle w:val="Compact"/>
              <w:jc w:val="left"/>
            </w:pPr>
            <w:r>
              <w:rPr>
                <w:b/>
                <w:bCs/>
              </w:rPr>
              <w:t xml:space="preserve">Health (tobacco)</w:t>
            </w:r>
          </w:p>
        </w:tc>
        <w:tc>
          <w:tcPr/>
          <w:p>
            <w:pPr>
              <w:pStyle w:val="Compact"/>
              <w:jc w:val="left"/>
            </w:pPr>
            <w:r>
              <w:t xml:space="preserve">Cigarettes — soft cap, imported</w:t>
            </w:r>
          </w:p>
        </w:tc>
        <w:tc>
          <w:tcPr/>
          <w:p>
            <w:pPr>
              <w:pStyle w:val="Compact"/>
              <w:jc w:val="left"/>
            </w:pPr>
            <w:r>
              <w:t xml:space="preserve">UGX 150,000 / 1,000 sticks</w:t>
            </w:r>
          </w:p>
        </w:tc>
        <w:tc>
          <w:tcPr/>
          <w:p>
            <w:pPr>
              <w:pStyle w:val="Compact"/>
              <w:jc w:val="left"/>
            </w:pPr>
            <w:r>
              <w:t xml:space="preserve">Specific. By origin &amp; pack type</w:t>
            </w:r>
          </w:p>
        </w:tc>
        <w:tc>
          <w:tcPr/>
          <w:p>
            <w:pPr>
              <w:pStyle w:val="Compact"/>
              <w:jc w:val="left"/>
            </w:pPr>
            <w:r>
              <w:t xml:space="preserve">Doubled from 75,000 in FA2025.</w:t>
            </w:r>
          </w:p>
        </w:tc>
      </w:tr>
      <w:tr>
        <w:tc>
          <w:tcPr/>
          <w:p>
            <w:pPr>
              <w:pStyle w:val="Compact"/>
              <w:jc w:val="left"/>
            </w:pPr>
            <w:r>
              <w:rPr>
                <w:b/>
                <w:bCs/>
              </w:rPr>
              <w:t xml:space="preserve">Health (tobacco)</w:t>
            </w:r>
          </w:p>
        </w:tc>
        <w:tc>
          <w:tcPr/>
          <w:p>
            <w:pPr>
              <w:pStyle w:val="Compact"/>
              <w:jc w:val="left"/>
            </w:pPr>
            <w:r>
              <w:t xml:space="preserve">Cigarettes — hinge lid, locally manufactured</w:t>
            </w:r>
          </w:p>
        </w:tc>
        <w:tc>
          <w:tcPr/>
          <w:p>
            <w:pPr>
              <w:pStyle w:val="Compact"/>
              <w:jc w:val="left"/>
            </w:pPr>
            <w:r>
              <w:t xml:space="preserve">UGX 90,000 / 1,000 sticks</w:t>
            </w:r>
          </w:p>
        </w:tc>
        <w:tc>
          <w:tcPr/>
          <w:p>
            <w:pPr>
              <w:pStyle w:val="Compact"/>
              <w:jc w:val="left"/>
            </w:pPr>
            <w:r>
              <w:t xml:space="preserve">Specific. By origin &amp; pack type</w:t>
            </w:r>
          </w:p>
        </w:tc>
        <w:tc>
          <w:tcPr/>
          <w:p>
            <w:pPr>
              <w:pStyle w:val="Compact"/>
              <w:jc w:val="left"/>
            </w:pPr>
            <w:r>
              <w:t xml:space="preserve">Raised from 80,000 in FA2025.</w:t>
            </w:r>
          </w:p>
        </w:tc>
      </w:tr>
      <w:tr>
        <w:tc>
          <w:tcPr/>
          <w:p>
            <w:pPr>
              <w:pStyle w:val="Compact"/>
              <w:jc w:val="left"/>
            </w:pPr>
            <w:r>
              <w:rPr>
                <w:b/>
                <w:bCs/>
              </w:rPr>
              <w:t xml:space="preserve">Health (tobacco)</w:t>
            </w:r>
          </w:p>
        </w:tc>
        <w:tc>
          <w:tcPr/>
          <w:p>
            <w:pPr>
              <w:pStyle w:val="Compact"/>
              <w:jc w:val="left"/>
            </w:pPr>
            <w:r>
              <w:t xml:space="preserve">Cigarettes — hinge lid, imported</w:t>
            </w:r>
          </w:p>
        </w:tc>
        <w:tc>
          <w:tcPr/>
          <w:p>
            <w:pPr>
              <w:pStyle w:val="Compact"/>
              <w:jc w:val="left"/>
            </w:pPr>
            <w:r>
              <w:t xml:space="preserve">UGX 200,000 / 1,000 sticks</w:t>
            </w:r>
          </w:p>
        </w:tc>
        <w:tc>
          <w:tcPr/>
          <w:p>
            <w:pPr>
              <w:pStyle w:val="Compact"/>
              <w:jc w:val="left"/>
            </w:pPr>
            <w:r>
              <w:t xml:space="preserve">Specific. By origin &amp; pack type</w:t>
            </w:r>
          </w:p>
        </w:tc>
        <w:tc>
          <w:tcPr/>
          <w:p>
            <w:pPr>
              <w:pStyle w:val="Compact"/>
              <w:jc w:val="left"/>
            </w:pPr>
            <w:r>
              <w:t xml:space="preserve">Doubled from 100,000 in FA2025.</w:t>
            </w:r>
          </w:p>
        </w:tc>
      </w:tr>
      <w:tr>
        <w:tc>
          <w:tcPr/>
          <w:p>
            <w:pPr>
              <w:pStyle w:val="Compact"/>
              <w:jc w:val="left"/>
            </w:pPr>
            <w:r>
              <w:rPr>
                <w:b/>
                <w:bCs/>
              </w:rPr>
              <w:t xml:space="preserve">Health (tobacco)</w:t>
            </w:r>
          </w:p>
        </w:tc>
        <w:tc>
          <w:tcPr/>
          <w:p>
            <w:pPr>
              <w:pStyle w:val="Compact"/>
              <w:jc w:val="left"/>
            </w:pPr>
            <w:r>
              <w:t xml:space="preserve">Cigars, cheroots, smoking &amp; homogenised tobacco</w:t>
            </w:r>
          </w:p>
        </w:tc>
        <w:tc>
          <w:tcPr/>
          <w:p>
            <w:pPr>
              <w:pStyle w:val="Compact"/>
              <w:jc w:val="left"/>
            </w:pPr>
            <w:r>
              <w:t xml:space="preserve">200%</w:t>
            </w:r>
          </w:p>
        </w:tc>
        <w:tc>
          <w:tcPr/>
          <w:p>
            <w:pPr>
              <w:pStyle w:val="Compact"/>
              <w:jc w:val="left"/>
            </w:pPr>
            <w:r>
              <w:t xml:space="preserve">Ad valorem</w:t>
            </w:r>
          </w:p>
        </w:tc>
        <w:tc>
          <w:tcPr/>
          <w:p>
            <w:pPr>
              <w:pStyle w:val="Compact"/>
              <w:jc w:val="left"/>
            </w:pPr>
            <w:r>
              <w:t xml:space="preserve">Stable.</w:t>
            </w:r>
          </w:p>
        </w:tc>
      </w:tr>
      <w:tr>
        <w:tc>
          <w:tcPr/>
          <w:p>
            <w:pPr>
              <w:pStyle w:val="Compact"/>
              <w:jc w:val="left"/>
            </w:pPr>
            <w:r>
              <w:rPr>
                <w:b/>
                <w:bCs/>
              </w:rPr>
              <w:t xml:space="preserve">Health (alcohol)</w:t>
            </w:r>
          </w:p>
        </w:tc>
        <w:tc>
          <w:tcPr/>
          <w:p>
            <w:pPr>
              <w:pStyle w:val="Compact"/>
              <w:jc w:val="left"/>
            </w:pPr>
            <w:r>
              <w:t xml:space="preserve">Malt beer</w:t>
            </w:r>
          </w:p>
        </w:tc>
        <w:tc>
          <w:tcPr/>
          <w:p>
            <w:pPr>
              <w:pStyle w:val="Compact"/>
              <w:jc w:val="left"/>
            </w:pPr>
            <w:r>
              <w:t xml:space="preserve">60% OR UGX 2,050 / litre</w:t>
            </w:r>
          </w:p>
        </w:tc>
        <w:tc>
          <w:tcPr/>
          <w:p>
            <w:pPr>
              <w:pStyle w:val="Compact"/>
              <w:jc w:val="left"/>
            </w:pPr>
            <w:r>
              <w:t xml:space="preserve">Hybrid (higher-of)</w:t>
            </w:r>
          </w:p>
        </w:tc>
        <w:tc>
          <w:tcPr/>
          <w:p>
            <w:pPr>
              <w:pStyle w:val="Compact"/>
              <w:jc w:val="left"/>
            </w:pPr>
            <w:r>
              <w:t xml:space="preserve">Stable.</w:t>
            </w:r>
          </w:p>
        </w:tc>
      </w:tr>
      <w:tr>
        <w:tc>
          <w:tcPr/>
          <w:p>
            <w:pPr>
              <w:pStyle w:val="Compact"/>
              <w:jc w:val="left"/>
            </w:pPr>
            <w:r>
              <w:rPr>
                <w:b/>
                <w:bCs/>
              </w:rPr>
              <w:t xml:space="preserve">Health (alcohol)</w:t>
            </w:r>
          </w:p>
        </w:tc>
        <w:tc>
          <w:tcPr/>
          <w:p>
            <w:pPr>
              <w:pStyle w:val="Compact"/>
              <w:jc w:val="left"/>
            </w:pPr>
            <w:r>
              <w:t xml:space="preserve">Beer, ≥75% local raw material</w:t>
            </w:r>
          </w:p>
        </w:tc>
        <w:tc>
          <w:tcPr/>
          <w:p>
            <w:pPr>
              <w:pStyle w:val="Compact"/>
              <w:jc w:val="left"/>
            </w:pPr>
            <w:r>
              <w:t xml:space="preserve">30% OR UGX 900 / litre</w:t>
            </w:r>
          </w:p>
        </w:tc>
        <w:tc>
          <w:tcPr/>
          <w:p>
            <w:pPr>
              <w:pStyle w:val="Compact"/>
              <w:jc w:val="left"/>
            </w:pPr>
            <w:r>
              <w:t xml:space="preserve">Hybrid. By local-content share</w:t>
            </w:r>
          </w:p>
        </w:tc>
        <w:tc>
          <w:tcPr/>
          <w:p>
            <w:pPr>
              <w:pStyle w:val="Compact"/>
              <w:jc w:val="left"/>
            </w:pPr>
            <w:r>
              <w:t xml:space="preserve">UGX rate raised from 650 to 900 in FA2025.</w:t>
            </w:r>
          </w:p>
        </w:tc>
      </w:tr>
      <w:tr>
        <w:tc>
          <w:tcPr/>
          <w:p>
            <w:pPr>
              <w:pStyle w:val="Compact"/>
              <w:jc w:val="left"/>
            </w:pPr>
            <w:r>
              <w:rPr>
                <w:b/>
                <w:bCs/>
              </w:rPr>
              <w:t xml:space="preserve">Health (alcohol)</w:t>
            </w:r>
          </w:p>
        </w:tc>
        <w:tc>
          <w:tcPr/>
          <w:p>
            <w:pPr>
              <w:pStyle w:val="Compact"/>
              <w:jc w:val="left"/>
            </w:pPr>
            <w:r>
              <w:t xml:space="preserve">Beer, Ugandan-grown-and-malted barley</w:t>
            </w:r>
          </w:p>
        </w:tc>
        <w:tc>
          <w:tcPr/>
          <w:p>
            <w:pPr>
              <w:pStyle w:val="Compact"/>
              <w:jc w:val="left"/>
            </w:pPr>
            <w:r>
              <w:t xml:space="preserve">30% OR UGX 950 / litre</w:t>
            </w:r>
          </w:p>
        </w:tc>
        <w:tc>
          <w:tcPr/>
          <w:p>
            <w:pPr>
              <w:pStyle w:val="Compact"/>
              <w:jc w:val="left"/>
            </w:pPr>
            <w:r>
              <w:t xml:space="preserve">Hybrid. By local-content share</w:t>
            </w:r>
          </w:p>
        </w:tc>
        <w:tc>
          <w:tcPr/>
          <w:p>
            <w:pPr>
              <w:pStyle w:val="Compact"/>
              <w:jc w:val="left"/>
            </w:pPr>
            <w:r>
              <w:t xml:space="preserve">Stable.</w:t>
            </w:r>
          </w:p>
        </w:tc>
      </w:tr>
      <w:tr>
        <w:tc>
          <w:tcPr/>
          <w:p>
            <w:pPr>
              <w:pStyle w:val="Compact"/>
              <w:jc w:val="left"/>
            </w:pPr>
            <w:r>
              <w:rPr>
                <w:b/>
                <w:bCs/>
              </w:rPr>
              <w:t xml:space="preserve">Health (alcohol)</w:t>
            </w:r>
          </w:p>
        </w:tc>
        <w:tc>
          <w:tcPr/>
          <w:p>
            <w:pPr>
              <w:pStyle w:val="Compact"/>
              <w:jc w:val="left"/>
            </w:pPr>
            <w:r>
              <w:t xml:space="preserve">Opaque beer</w:t>
            </w:r>
          </w:p>
        </w:tc>
        <w:tc>
          <w:tcPr/>
          <w:p>
            <w:pPr>
              <w:pStyle w:val="Compact"/>
              <w:jc w:val="left"/>
            </w:pPr>
            <w:r>
              <w:t xml:space="preserve">12% OR UGX 150 / litre</w:t>
            </w:r>
          </w:p>
        </w:tc>
        <w:tc>
          <w:tcPr/>
          <w:p>
            <w:pPr>
              <w:pStyle w:val="Compact"/>
              <w:jc w:val="left"/>
            </w:pPr>
            <w:r>
              <w:t xml:space="preserve">Hybrid</w:t>
            </w:r>
          </w:p>
        </w:tc>
        <w:tc>
          <w:tcPr/>
          <w:p>
            <w:pPr>
              <w:pStyle w:val="Compact"/>
              <w:jc w:val="left"/>
            </w:pPr>
            <w:r>
              <w:t xml:space="preserve">Cut from 30%/650 (FY19/20) → 20%/230 (FA2021) → 12%/150 (FA2024).</w:t>
            </w:r>
          </w:p>
        </w:tc>
      </w:tr>
      <w:tr>
        <w:tc>
          <w:tcPr/>
          <w:p>
            <w:pPr>
              <w:pStyle w:val="Compact"/>
              <w:jc w:val="left"/>
            </w:pPr>
            <w:r>
              <w:rPr>
                <w:b/>
                <w:bCs/>
              </w:rPr>
              <w:t xml:space="preserve">Health (alcohol)</w:t>
            </w:r>
          </w:p>
        </w:tc>
        <w:tc>
          <w:tcPr/>
          <w:p>
            <w:pPr>
              <w:pStyle w:val="Compact"/>
              <w:jc w:val="left"/>
            </w:pPr>
            <w:r>
              <w:t xml:space="preserve">Other locally produced alcoholic beverages</w:t>
            </w:r>
          </w:p>
        </w:tc>
        <w:tc>
          <w:tcPr/>
          <w:p>
            <w:pPr>
              <w:pStyle w:val="Compact"/>
              <w:jc w:val="left"/>
            </w:pPr>
            <w:r>
              <w:t xml:space="preserve">12% OR UGX 150 / litre</w:t>
            </w:r>
          </w:p>
        </w:tc>
        <w:tc>
          <w:tcPr/>
          <w:p>
            <w:pPr>
              <w:pStyle w:val="Compact"/>
              <w:jc w:val="left"/>
            </w:pPr>
            <w:r>
              <w:t xml:space="preserve">Hybrid</w:t>
            </w:r>
          </w:p>
        </w:tc>
        <w:tc>
          <w:tcPr/>
          <w:p>
            <w:pPr>
              <w:pStyle w:val="Compact"/>
              <w:jc w:val="left"/>
            </w:pPr>
            <w:r>
              <w:t xml:space="preserve">Newly excisable FA2021 (20%/230); cut to 12%/150 in FA2024.</w:t>
            </w:r>
          </w:p>
        </w:tc>
      </w:tr>
      <w:tr>
        <w:tc>
          <w:tcPr/>
          <w:p>
            <w:pPr>
              <w:pStyle w:val="Compact"/>
              <w:jc w:val="left"/>
            </w:pPr>
            <w:r>
              <w:rPr>
                <w:b/>
                <w:bCs/>
              </w:rPr>
              <w:t xml:space="preserve">Health (alcohol)</w:t>
            </w:r>
          </w:p>
        </w:tc>
        <w:tc>
          <w:tcPr/>
          <w:p>
            <w:pPr>
              <w:pStyle w:val="Compact"/>
              <w:jc w:val="left"/>
            </w:pPr>
            <w:r>
              <w:t xml:space="preserve">Un-denatured spirits, local raw materials</w:t>
            </w:r>
          </w:p>
        </w:tc>
        <w:tc>
          <w:tcPr/>
          <w:p>
            <w:pPr>
              <w:pStyle w:val="Compact"/>
              <w:jc w:val="left"/>
            </w:pPr>
            <w:r>
              <w:t xml:space="preserve">60% OR UGX 1,500 / litre</w:t>
            </w:r>
          </w:p>
        </w:tc>
        <w:tc>
          <w:tcPr/>
          <w:p>
            <w:pPr>
              <w:pStyle w:val="Compact"/>
              <w:jc w:val="left"/>
            </w:pPr>
            <w:r>
              <w:t xml:space="preserve">Hybrid. By raw-material origin</w:t>
            </w:r>
          </w:p>
        </w:tc>
        <w:tc>
          <w:tcPr/>
          <w:p>
            <w:pPr>
              <w:pStyle w:val="Compact"/>
              <w:jc w:val="left"/>
            </w:pPr>
            <w:r>
              <w:t xml:space="preserve">Cut from UGX 2,000 in FA2020.</w:t>
            </w:r>
          </w:p>
        </w:tc>
      </w:tr>
      <w:tr>
        <w:tc>
          <w:tcPr/>
          <w:p>
            <w:pPr>
              <w:pStyle w:val="Compact"/>
              <w:jc w:val="left"/>
            </w:pPr>
            <w:r>
              <w:rPr>
                <w:b/>
                <w:bCs/>
              </w:rPr>
              <w:t xml:space="preserve">Health (alcohol)</w:t>
            </w:r>
          </w:p>
        </w:tc>
        <w:tc>
          <w:tcPr/>
          <w:p>
            <w:pPr>
              <w:pStyle w:val="Compact"/>
              <w:jc w:val="left"/>
            </w:pPr>
            <w:r>
              <w:t xml:space="preserve">Un-denatured spirits, imported raw materials</w:t>
            </w:r>
          </w:p>
        </w:tc>
        <w:tc>
          <w:tcPr/>
          <w:p>
            <w:pPr>
              <w:pStyle w:val="Compact"/>
              <w:jc w:val="left"/>
            </w:pPr>
            <w:r>
              <w:t xml:space="preserve">Above 100% / UGX 2,500 baseline</w:t>
            </w:r>
          </w:p>
        </w:tc>
        <w:tc>
          <w:tcPr/>
          <w:p>
            <w:pPr>
              <w:pStyle w:val="Compact"/>
              <w:jc w:val="left"/>
            </w:pPr>
            <w:r>
              <w:t xml:space="preserve">Hybrid. By raw-material origin</w:t>
            </w:r>
          </w:p>
        </w:tc>
        <w:tc>
          <w:tcPr/>
          <w:p>
            <w:pPr>
              <w:pStyle w:val="Compact"/>
              <w:jc w:val="left"/>
            </w:pPr>
            <w:r>
              <w:t xml:space="preserve">Increased in FA2024.</w:t>
            </w:r>
          </w:p>
        </w:tc>
      </w:tr>
      <w:tr>
        <w:tc>
          <w:tcPr/>
          <w:p>
            <w:pPr>
              <w:pStyle w:val="Compact"/>
              <w:jc w:val="left"/>
            </w:pPr>
            <w:r>
              <w:rPr>
                <w:b/>
                <w:bCs/>
              </w:rPr>
              <w:t xml:space="preserve">Health (alcohol)</w:t>
            </w:r>
          </w:p>
        </w:tc>
        <w:tc>
          <w:tcPr/>
          <w:p>
            <w:pPr>
              <w:pStyle w:val="Compact"/>
              <w:jc w:val="left"/>
            </w:pPr>
            <w:r>
              <w:t xml:space="preserve">Ready-to-drink spirits</w:t>
            </w:r>
          </w:p>
        </w:tc>
        <w:tc>
          <w:tcPr/>
          <w:p>
            <w:pPr>
              <w:pStyle w:val="Compact"/>
              <w:jc w:val="left"/>
            </w:pPr>
            <w:r>
              <w:t xml:space="preserve">80% OR UGX 1,700 / litre</w:t>
            </w:r>
          </w:p>
        </w:tc>
        <w:tc>
          <w:tcPr/>
          <w:p>
            <w:pPr>
              <w:pStyle w:val="Compact"/>
              <w:jc w:val="left"/>
            </w:pPr>
            <w:r>
              <w:t xml:space="preserve">Hybrid</w:t>
            </w:r>
          </w:p>
        </w:tc>
        <w:tc>
          <w:tcPr/>
          <w:p>
            <w:pPr>
              <w:pStyle w:val="Compact"/>
              <w:jc w:val="left"/>
            </w:pPr>
            <w:r>
              <w:t xml:space="preserve">Stable.</w:t>
            </w:r>
          </w:p>
        </w:tc>
      </w:tr>
      <w:tr>
        <w:tc>
          <w:tcPr/>
          <w:p>
            <w:pPr>
              <w:pStyle w:val="Compact"/>
              <w:jc w:val="left"/>
            </w:pPr>
            <w:r>
              <w:rPr>
                <w:b/>
                <w:bCs/>
              </w:rPr>
              <w:t xml:space="preserve">Health (alcohol)</w:t>
            </w:r>
          </w:p>
        </w:tc>
        <w:tc>
          <w:tcPr/>
          <w:p>
            <w:pPr>
              <w:pStyle w:val="Compact"/>
              <w:jc w:val="left"/>
            </w:pPr>
            <w:r>
              <w:t xml:space="preserve">Wine, local raw materials</w:t>
            </w:r>
          </w:p>
        </w:tc>
        <w:tc>
          <w:tcPr/>
          <w:p>
            <w:pPr>
              <w:pStyle w:val="Compact"/>
              <w:jc w:val="left"/>
            </w:pPr>
            <w:r>
              <w:t xml:space="preserve">20% OR UGX 2,000 / litre</w:t>
            </w:r>
          </w:p>
        </w:tc>
        <w:tc>
          <w:tcPr/>
          <w:p>
            <w:pPr>
              <w:pStyle w:val="Compact"/>
              <w:jc w:val="left"/>
            </w:pPr>
            <w:r>
              <w:t xml:space="preserve">Hybrid. By origin</w:t>
            </w:r>
          </w:p>
        </w:tc>
        <w:tc>
          <w:tcPr/>
          <w:p>
            <w:pPr>
              <w:pStyle w:val="Compact"/>
              <w:jc w:val="left"/>
            </w:pPr>
            <w:r>
              <w:t xml:space="preserve">Stable.</w:t>
            </w:r>
          </w:p>
        </w:tc>
      </w:tr>
      <w:tr>
        <w:tc>
          <w:tcPr/>
          <w:p>
            <w:pPr>
              <w:pStyle w:val="Compact"/>
              <w:jc w:val="left"/>
            </w:pPr>
            <w:r>
              <w:rPr>
                <w:b/>
                <w:bCs/>
              </w:rPr>
              <w:t xml:space="preserve">Health (alcohol)</w:t>
            </w:r>
          </w:p>
        </w:tc>
        <w:tc>
          <w:tcPr/>
          <w:p>
            <w:pPr>
              <w:pStyle w:val="Compact"/>
              <w:jc w:val="left"/>
            </w:pPr>
            <w:r>
              <w:t xml:space="preserve">Other wine</w:t>
            </w:r>
          </w:p>
        </w:tc>
        <w:tc>
          <w:tcPr/>
          <w:p>
            <w:pPr>
              <w:pStyle w:val="Compact"/>
              <w:jc w:val="left"/>
            </w:pPr>
            <w:r>
              <w:t xml:space="preserve">Above 80% / UGX 8,000 baseline</w:t>
            </w:r>
          </w:p>
        </w:tc>
        <w:tc>
          <w:tcPr/>
          <w:p>
            <w:pPr>
              <w:pStyle w:val="Compact"/>
              <w:jc w:val="left"/>
            </w:pPr>
            <w:r>
              <w:t xml:space="preserve">Hybrid. By origin</w:t>
            </w:r>
          </w:p>
        </w:tc>
        <w:tc>
          <w:tcPr/>
          <w:p>
            <w:pPr>
              <w:pStyle w:val="Compact"/>
              <w:jc w:val="left"/>
            </w:pPr>
            <w:r>
              <w:t xml:space="preserve">Raised in FA2024.</w:t>
            </w:r>
          </w:p>
        </w:tc>
      </w:tr>
      <w:tr>
        <w:tc>
          <w:tcPr/>
          <w:p>
            <w:pPr>
              <w:pStyle w:val="Compact"/>
              <w:jc w:val="left"/>
            </w:pPr>
            <w:r>
              <w:rPr>
                <w:b/>
                <w:bCs/>
              </w:rPr>
              <w:t xml:space="preserve">Health (alcohol)</w:t>
            </w:r>
          </w:p>
        </w:tc>
        <w:tc>
          <w:tcPr/>
          <w:p>
            <w:pPr>
              <w:pStyle w:val="Compact"/>
              <w:jc w:val="left"/>
            </w:pPr>
            <w:r>
              <w:t xml:space="preserve">Other fermented beverages, imported</w:t>
            </w:r>
          </w:p>
        </w:tc>
        <w:tc>
          <w:tcPr/>
          <w:p>
            <w:pPr>
              <w:pStyle w:val="Compact"/>
              <w:jc w:val="left"/>
            </w:pPr>
            <w:r>
              <w:t xml:space="preserve">60% OR UGX 950 / litre</w:t>
            </w:r>
          </w:p>
        </w:tc>
        <w:tc>
          <w:tcPr/>
          <w:p>
            <w:pPr>
              <w:pStyle w:val="Compact"/>
              <w:jc w:val="left"/>
            </w:pPr>
            <w:r>
              <w:t xml:space="preserve">Hybrid. By origin (cider, perry, mead)</w:t>
            </w:r>
          </w:p>
        </w:tc>
        <w:tc>
          <w:tcPr/>
          <w:p>
            <w:pPr>
              <w:pStyle w:val="Compact"/>
              <w:jc w:val="left"/>
            </w:pPr>
            <w:r>
              <w:t xml:space="preserve">New line in FA2021.</w:t>
            </w:r>
          </w:p>
        </w:tc>
      </w:tr>
      <w:tr>
        <w:tc>
          <w:tcPr/>
          <w:p>
            <w:pPr>
              <w:pStyle w:val="Compact"/>
              <w:jc w:val="left"/>
            </w:pPr>
            <w:r>
              <w:rPr>
                <w:b/>
                <w:bCs/>
              </w:rPr>
              <w:t xml:space="preserve">Health (alcohol)</w:t>
            </w:r>
          </w:p>
        </w:tc>
        <w:tc>
          <w:tcPr/>
          <w:p>
            <w:pPr>
              <w:pStyle w:val="Compact"/>
              <w:jc w:val="left"/>
            </w:pPr>
            <w:r>
              <w:t xml:space="preserve">Other fermented beverages, local</w:t>
            </w:r>
          </w:p>
        </w:tc>
        <w:tc>
          <w:tcPr/>
          <w:p>
            <w:pPr>
              <w:pStyle w:val="Compact"/>
              <w:jc w:val="left"/>
            </w:pPr>
            <w:r>
              <w:t xml:space="preserve">30% OR UGX 550 / litre</w:t>
            </w:r>
          </w:p>
        </w:tc>
        <w:tc>
          <w:tcPr/>
          <w:p>
            <w:pPr>
              <w:pStyle w:val="Compact"/>
              <w:jc w:val="left"/>
            </w:pPr>
            <w:r>
              <w:t xml:space="preserve">Hybrid. By origin</w:t>
            </w:r>
          </w:p>
        </w:tc>
        <w:tc>
          <w:tcPr/>
          <w:p>
            <w:pPr>
              <w:pStyle w:val="Compact"/>
              <w:jc w:val="left"/>
            </w:pPr>
            <w:r>
              <w:t xml:space="preserve">New line in FA2021.</w:t>
            </w:r>
          </w:p>
        </w:tc>
      </w:tr>
      <w:tr>
        <w:tc>
          <w:tcPr/>
          <w:p>
            <w:pPr>
              <w:pStyle w:val="Compact"/>
              <w:jc w:val="left"/>
            </w:pPr>
            <w:r>
              <w:rPr>
                <w:b/>
                <w:bCs/>
              </w:rPr>
              <w:t xml:space="preserve">Health (SSB)</w:t>
            </w:r>
          </w:p>
        </w:tc>
        <w:tc>
          <w:tcPr/>
          <w:p>
            <w:pPr>
              <w:pStyle w:val="Compact"/>
              <w:jc w:val="left"/>
            </w:pPr>
            <w:r>
              <w:t xml:space="preserve">Non-alcoholic beverages (excl. juice)</w:t>
            </w:r>
          </w:p>
        </w:tc>
        <w:tc>
          <w:tcPr/>
          <w:p>
            <w:pPr>
              <w:pStyle w:val="Compact"/>
              <w:jc w:val="left"/>
            </w:pPr>
            <w:r>
              <w:t xml:space="preserve">12% OR UGX 250 / litre</w:t>
            </w:r>
          </w:p>
        </w:tc>
        <w:tc>
          <w:tcPr/>
          <w:p>
            <w:pPr>
              <w:pStyle w:val="Compact"/>
              <w:jc w:val="left"/>
            </w:pPr>
            <w:r>
              <w:t xml:space="preserve">Hybrid</w:t>
            </w:r>
          </w:p>
        </w:tc>
        <w:tc>
          <w:tcPr/>
          <w:p>
            <w:pPr>
              <w:pStyle w:val="Compact"/>
              <w:jc w:val="left"/>
            </w:pPr>
            <w:r>
              <w:t xml:space="preserve">Stable.</w:t>
            </w:r>
          </w:p>
        </w:tc>
      </w:tr>
      <w:tr>
        <w:tc>
          <w:tcPr/>
          <w:p>
            <w:pPr>
              <w:pStyle w:val="Compact"/>
              <w:jc w:val="left"/>
            </w:pPr>
            <w:r>
              <w:rPr>
                <w:b/>
                <w:bCs/>
              </w:rPr>
              <w:t xml:space="preserve">Health (SSB)</w:t>
            </w:r>
          </w:p>
        </w:tc>
        <w:tc>
          <w:tcPr/>
          <w:p>
            <w:pPr>
              <w:pStyle w:val="Compact"/>
              <w:jc w:val="left"/>
            </w:pPr>
            <w:r>
              <w:t xml:space="preserve">Fruit and vegetable juice</w:t>
            </w:r>
          </w:p>
        </w:tc>
        <w:tc>
          <w:tcPr/>
          <w:p>
            <w:pPr>
              <w:pStyle w:val="Compact"/>
              <w:jc w:val="left"/>
            </w:pPr>
            <w:r>
              <w:t xml:space="preserve">12% OR UGX 250 / litre</w:t>
            </w:r>
          </w:p>
        </w:tc>
        <w:tc>
          <w:tcPr/>
          <w:p>
            <w:pPr>
              <w:pStyle w:val="Compact"/>
              <w:jc w:val="left"/>
            </w:pPr>
            <w:r>
              <w:t xml:space="preserve">Hybrid. Concession for ≥30% Ugandan pulp content</w:t>
            </w:r>
          </w:p>
        </w:tc>
        <w:tc>
          <w:tcPr/>
          <w:p>
            <w:pPr>
              <w:pStyle w:val="Compact"/>
              <w:jc w:val="left"/>
            </w:pPr>
            <w:r>
              <w:t xml:space="preserve">Cut from 13%/300 in FA2020.</w:t>
            </w:r>
          </w:p>
        </w:tc>
      </w:tr>
      <w:tr>
        <w:tc>
          <w:tcPr/>
          <w:p>
            <w:pPr>
              <w:pStyle w:val="Compact"/>
              <w:jc w:val="left"/>
            </w:pPr>
            <w:r>
              <w:rPr>
                <w:b/>
                <w:bCs/>
              </w:rPr>
              <w:t xml:space="preserve">Health (SSB)</w:t>
            </w:r>
          </w:p>
        </w:tc>
        <w:tc>
          <w:tcPr/>
          <w:p>
            <w:pPr>
              <w:pStyle w:val="Compact"/>
              <w:jc w:val="left"/>
            </w:pPr>
            <w:r>
              <w:t xml:space="preserve">Powder for reconstitution to juice</w:t>
            </w:r>
          </w:p>
        </w:tc>
        <w:tc>
          <w:tcPr/>
          <w:p>
            <w:pPr>
              <w:pStyle w:val="Compact"/>
              <w:jc w:val="left"/>
            </w:pPr>
            <w:r>
              <w:t xml:space="preserve">15%</w:t>
            </w:r>
          </w:p>
        </w:tc>
        <w:tc>
          <w:tcPr/>
          <w:p>
            <w:pPr>
              <w:pStyle w:val="Compact"/>
              <w:jc w:val="left"/>
            </w:pPr>
            <w:r>
              <w:t xml:space="preserve">Ad valorem</w:t>
            </w:r>
          </w:p>
        </w:tc>
        <w:tc>
          <w:tcPr/>
          <w:p>
            <w:pPr>
              <w:pStyle w:val="Compact"/>
              <w:jc w:val="left"/>
            </w:pPr>
            <w:r>
              <w:t xml:space="preserve">Stable.</w:t>
            </w:r>
          </w:p>
        </w:tc>
      </w:tr>
      <w:tr>
        <w:tc>
          <w:tcPr/>
          <w:p>
            <w:pPr>
              <w:pStyle w:val="Compact"/>
              <w:jc w:val="left"/>
            </w:pPr>
            <w:r>
              <w:rPr>
                <w:b/>
                <w:bCs/>
              </w:rPr>
              <w:t xml:space="preserve">Health (SSB)</w:t>
            </w:r>
          </w:p>
        </w:tc>
        <w:tc>
          <w:tcPr/>
          <w:p>
            <w:pPr>
              <w:pStyle w:val="Compact"/>
              <w:jc w:val="left"/>
            </w:pPr>
            <w:r>
              <w:t xml:space="preserve">Powder for reconstitution to beer</w:t>
            </w:r>
          </w:p>
        </w:tc>
        <w:tc>
          <w:tcPr/>
          <w:p>
            <w:pPr>
              <w:pStyle w:val="Compact"/>
              <w:jc w:val="left"/>
            </w:pPr>
            <w:r>
              <w:t xml:space="preserve">Excise introduced</w:t>
            </w:r>
          </w:p>
        </w:tc>
        <w:tc>
          <w:tcPr/>
          <w:p>
            <w:pPr>
              <w:pStyle w:val="Compact"/>
              <w:jc w:val="left"/>
            </w:pPr>
            <w:r>
              <w:t xml:space="preserve">Ad valorem</w:t>
            </w:r>
          </w:p>
        </w:tc>
        <w:tc>
          <w:tcPr/>
          <w:p>
            <w:pPr>
              <w:pStyle w:val="Compact"/>
              <w:jc w:val="left"/>
            </w:pPr>
            <w:r>
              <w:t xml:space="preserve">New in FA2024.</w:t>
            </w:r>
          </w:p>
        </w:tc>
      </w:tr>
      <w:tr>
        <w:tc>
          <w:tcPr/>
          <w:p>
            <w:pPr>
              <w:pStyle w:val="Compact"/>
              <w:jc w:val="left"/>
            </w:pPr>
            <w:r>
              <w:rPr>
                <w:b/>
                <w:bCs/>
              </w:rPr>
              <w:t xml:space="preserve">Health (SSB)</w:t>
            </w:r>
          </w:p>
        </w:tc>
        <w:tc>
          <w:tcPr/>
          <w:p>
            <w:pPr>
              <w:pStyle w:val="Compact"/>
              <w:jc w:val="left"/>
            </w:pPr>
            <w:r>
              <w:t xml:space="preserve">Mineral / bottled / processed water</w:t>
            </w:r>
          </w:p>
        </w:tc>
        <w:tc>
          <w:tcPr/>
          <w:p>
            <w:pPr>
              <w:pStyle w:val="Compact"/>
              <w:jc w:val="left"/>
            </w:pPr>
            <w:r>
              <w:t xml:space="preserve">Hybrid fixed + ad valorem</w:t>
            </w:r>
          </w:p>
        </w:tc>
        <w:tc>
          <w:tcPr/>
          <w:p>
            <w:pPr>
              <w:pStyle w:val="Compact"/>
              <w:jc w:val="left"/>
            </w:pPr>
            <w:r>
              <w:t xml:space="preserve">Hybrid</w:t>
            </w:r>
          </w:p>
        </w:tc>
        <w:tc>
          <w:tcPr/>
          <w:p>
            <w:pPr>
              <w:pStyle w:val="Compact"/>
              <w:jc w:val="left"/>
            </w:pPr>
            <w:r>
              <w:t xml:space="preserve">Restructured FA2024 (was 10% flat).</w:t>
            </w:r>
          </w:p>
        </w:tc>
      </w:tr>
      <w:tr>
        <w:tc>
          <w:tcPr/>
          <w:p>
            <w:pPr>
              <w:pStyle w:val="Compact"/>
              <w:jc w:val="left"/>
            </w:pPr>
            <w:r>
              <w:rPr>
                <w:b/>
                <w:bCs/>
              </w:rPr>
              <w:t xml:space="preserve">Luxury</w:t>
            </w:r>
          </w:p>
        </w:tc>
        <w:tc>
          <w:tcPr/>
          <w:p>
            <w:pPr>
              <w:pStyle w:val="Compact"/>
              <w:jc w:val="left"/>
            </w:pPr>
            <w:r>
              <w:t xml:space="preserve">Cosmetics &amp; perfumes</w:t>
            </w:r>
          </w:p>
        </w:tc>
        <w:tc>
          <w:tcPr/>
          <w:p>
            <w:pPr>
              <w:pStyle w:val="Compact"/>
              <w:jc w:val="left"/>
            </w:pPr>
            <w:r>
              <w:t xml:space="preserve">10%</w:t>
            </w:r>
          </w:p>
        </w:tc>
        <w:tc>
          <w:tcPr/>
          <w:p>
            <w:pPr>
              <w:pStyle w:val="Compact"/>
              <w:jc w:val="left"/>
            </w:pPr>
            <w:r>
              <w:t xml:space="preserve">Ad valorem. Albino skin treatments exempt</w:t>
            </w:r>
          </w:p>
        </w:tc>
        <w:tc>
          <w:tcPr/>
          <w:p>
            <w:pPr>
              <w:pStyle w:val="Compact"/>
              <w:jc w:val="left"/>
            </w:pPr>
            <w:r>
              <w:t xml:space="preserve">Stable.</w:t>
            </w:r>
          </w:p>
        </w:tc>
      </w:tr>
      <w:tr>
        <w:tc>
          <w:tcPr/>
          <w:p>
            <w:pPr>
              <w:pStyle w:val="Compact"/>
              <w:jc w:val="left"/>
            </w:pPr>
            <w:r>
              <w:rPr>
                <w:b/>
                <w:bCs/>
              </w:rPr>
              <w:t xml:space="preserve">Luxury</w:t>
            </w:r>
          </w:p>
        </w:tc>
        <w:tc>
          <w:tcPr/>
          <w:p>
            <w:pPr>
              <w:pStyle w:val="Compact"/>
              <w:jc w:val="left"/>
            </w:pPr>
            <w:r>
              <w:t xml:space="preserve">Other furniture</w:t>
            </w:r>
          </w:p>
        </w:tc>
        <w:tc>
          <w:tcPr/>
          <w:p>
            <w:pPr>
              <w:pStyle w:val="Compact"/>
              <w:jc w:val="left"/>
            </w:pPr>
            <w:r>
              <w:t xml:space="preserve">20%</w:t>
            </w:r>
          </w:p>
        </w:tc>
        <w:tc>
          <w:tcPr/>
          <w:p>
            <w:pPr>
              <w:pStyle w:val="Compact"/>
              <w:jc w:val="left"/>
            </w:pPr>
            <w:r>
              <w:t xml:space="preserve">Ad valorem. Local materials and specialised hospital furniture: nil</w:t>
            </w:r>
          </w:p>
        </w:tc>
        <w:tc>
          <w:tcPr/>
          <w:p>
            <w:pPr>
              <w:pStyle w:val="Compact"/>
              <w:jc w:val="left"/>
            </w:pPr>
            <w:r>
              <w:t xml:space="preserve">Stable.</w:t>
            </w:r>
          </w:p>
        </w:tc>
      </w:tr>
      <w:tr>
        <w:tc>
          <w:tcPr/>
          <w:p>
            <w:pPr>
              <w:pStyle w:val="Compact"/>
              <w:jc w:val="left"/>
            </w:pPr>
            <w:r>
              <w:rPr>
                <w:b/>
                <w:bCs/>
              </w:rPr>
              <w:t xml:space="preserve">Industrial</w:t>
            </w:r>
          </w:p>
        </w:tc>
        <w:tc>
          <w:tcPr/>
          <w:p>
            <w:pPr>
              <w:pStyle w:val="Compact"/>
              <w:jc w:val="left"/>
            </w:pPr>
            <w:r>
              <w:t xml:space="preserve">Cement</w:t>
            </w:r>
          </w:p>
        </w:tc>
        <w:tc>
          <w:tcPr/>
          <w:p>
            <w:pPr>
              <w:pStyle w:val="Compact"/>
              <w:jc w:val="left"/>
            </w:pPr>
            <w:r>
              <w:t xml:space="preserve">UGX 500 / 50 kg</w:t>
            </w:r>
          </w:p>
        </w:tc>
        <w:tc>
          <w:tcPr/>
          <w:p>
            <w:pPr>
              <w:pStyle w:val="Compact"/>
              <w:jc w:val="left"/>
            </w:pPr>
            <w:r>
              <w:t xml:space="preserve">Specific</w:t>
            </w:r>
          </w:p>
        </w:tc>
        <w:tc>
          <w:tcPr/>
          <w:p>
            <w:pPr>
              <w:pStyle w:val="Compact"/>
              <w:jc w:val="left"/>
            </w:pPr>
            <w:r>
              <w:t xml:space="preserve">Stable. 2026 Bill proposes 1,000.</w:t>
            </w:r>
          </w:p>
        </w:tc>
      </w:tr>
      <w:tr>
        <w:tc>
          <w:tcPr/>
          <w:p>
            <w:pPr>
              <w:pStyle w:val="Compact"/>
              <w:jc w:val="left"/>
            </w:pPr>
            <w:r>
              <w:rPr>
                <w:b/>
                <w:bCs/>
              </w:rPr>
              <w:t xml:space="preserve">Industrial</w:t>
            </w:r>
          </w:p>
        </w:tc>
        <w:tc>
          <w:tcPr/>
          <w:p>
            <w:pPr>
              <w:pStyle w:val="Compact"/>
              <w:jc w:val="left"/>
            </w:pPr>
            <w:r>
              <w:t xml:space="preserve">Sugar (cane / beet, solid)</w:t>
            </w:r>
          </w:p>
        </w:tc>
        <w:tc>
          <w:tcPr/>
          <w:p>
            <w:pPr>
              <w:pStyle w:val="Compact"/>
              <w:jc w:val="left"/>
            </w:pPr>
            <w:r>
              <w:t xml:space="preserve">UGX 100 / kg</w:t>
            </w:r>
          </w:p>
        </w:tc>
        <w:tc>
          <w:tcPr/>
          <w:p>
            <w:pPr>
              <w:pStyle w:val="Compact"/>
              <w:jc w:val="left"/>
            </w:pPr>
            <w:r>
              <w:t xml:space="preserve">Specific. Industrial use: 0%</w:t>
            </w:r>
          </w:p>
        </w:tc>
        <w:tc>
          <w:tcPr/>
          <w:p>
            <w:pPr>
              <w:pStyle w:val="Compact"/>
              <w:jc w:val="left"/>
            </w:pPr>
            <w:r>
              <w:t xml:space="preserve">Stable. 2026 Bill proposes 300.</w:t>
            </w:r>
          </w:p>
        </w:tc>
      </w:tr>
      <w:tr>
        <w:tc>
          <w:tcPr/>
          <w:p>
            <w:pPr>
              <w:pStyle w:val="Compact"/>
              <w:jc w:val="left"/>
            </w:pPr>
            <w:r>
              <w:rPr>
                <w:b/>
                <w:bCs/>
              </w:rPr>
              <w:t xml:space="preserve">Industrial</w:t>
            </w:r>
          </w:p>
        </w:tc>
        <w:tc>
          <w:tcPr/>
          <w:p>
            <w:pPr>
              <w:pStyle w:val="Compact"/>
              <w:jc w:val="left"/>
            </w:pPr>
            <w:r>
              <w:t xml:space="preserve">Cooking oil</w:t>
            </w:r>
          </w:p>
        </w:tc>
        <w:tc>
          <w:tcPr/>
          <w:p>
            <w:pPr>
              <w:pStyle w:val="Compact"/>
              <w:jc w:val="left"/>
            </w:pPr>
            <w:r>
              <w:t xml:space="preserve">UGX 200 / litre</w:t>
            </w:r>
          </w:p>
        </w:tc>
        <w:tc>
          <w:tcPr/>
          <w:p>
            <w:pPr>
              <w:pStyle w:val="Compact"/>
              <w:jc w:val="left"/>
            </w:pPr>
            <w:r>
              <w:t xml:space="preserve">Specific</w:t>
            </w:r>
          </w:p>
        </w:tc>
        <w:tc>
          <w:tcPr/>
          <w:p>
            <w:pPr>
              <w:pStyle w:val="Compact"/>
              <w:jc w:val="left"/>
            </w:pPr>
            <w:r>
              <w:t xml:space="preserve">Stable. 2026 Bill proposes 400.</w:t>
            </w:r>
          </w:p>
        </w:tc>
      </w:tr>
      <w:tr>
        <w:tc>
          <w:tcPr/>
          <w:p>
            <w:pPr>
              <w:pStyle w:val="Compact"/>
              <w:jc w:val="left"/>
            </w:pPr>
            <w:r>
              <w:rPr>
                <w:b/>
                <w:bCs/>
              </w:rPr>
              <w:t xml:space="preserve">Industrial</w:t>
            </w:r>
          </w:p>
        </w:tc>
        <w:tc>
          <w:tcPr/>
          <w:p>
            <w:pPr>
              <w:pStyle w:val="Compact"/>
              <w:jc w:val="left"/>
            </w:pPr>
            <w:r>
              <w:t xml:space="preserve">Lubricants (motor vehicle, not aircraft)</w:t>
            </w:r>
          </w:p>
        </w:tc>
        <w:tc>
          <w:tcPr/>
          <w:p>
            <w:pPr>
              <w:pStyle w:val="Compact"/>
              <w:jc w:val="left"/>
            </w:pPr>
            <w:r>
              <w:t xml:space="preserve">15%</w:t>
            </w:r>
          </w:p>
        </w:tc>
        <w:tc>
          <w:tcPr/>
          <w:p>
            <w:pPr>
              <w:pStyle w:val="Compact"/>
              <w:jc w:val="left"/>
            </w:pPr>
            <w:r>
              <w:t xml:space="preserve">Ad valorem. By user</w:t>
            </w:r>
          </w:p>
        </w:tc>
        <w:tc>
          <w:tcPr/>
          <w:p>
            <w:pPr>
              <w:pStyle w:val="Compact"/>
              <w:jc w:val="left"/>
            </w:pPr>
            <w:r>
              <w:t xml:space="preserve">Stable.</w:t>
            </w:r>
          </w:p>
        </w:tc>
      </w:tr>
      <w:tr>
        <w:tc>
          <w:tcPr/>
          <w:p>
            <w:pPr>
              <w:pStyle w:val="Compact"/>
              <w:jc w:val="left"/>
            </w:pPr>
            <w:r>
              <w:rPr>
                <w:b/>
                <w:bCs/>
              </w:rPr>
              <w:t xml:space="preserve">Telecoms</w:t>
            </w:r>
          </w:p>
        </w:tc>
        <w:tc>
          <w:tcPr/>
          <w:p>
            <w:pPr>
              <w:pStyle w:val="Compact"/>
              <w:jc w:val="left"/>
            </w:pPr>
            <w:r>
              <w:t xml:space="preserve">Airtime (mobile, landline, public payphone)</w:t>
            </w:r>
          </w:p>
        </w:tc>
        <w:tc>
          <w:tcPr/>
          <w:p>
            <w:pPr>
              <w:pStyle w:val="Compact"/>
              <w:jc w:val="left"/>
            </w:pPr>
            <w:r>
              <w:t xml:space="preserve">12% of fee</w:t>
            </w:r>
          </w:p>
        </w:tc>
        <w:tc>
          <w:tcPr/>
          <w:p>
            <w:pPr>
              <w:pStyle w:val="Compact"/>
              <w:jc w:val="left"/>
            </w:pPr>
            <w:r>
              <w:t xml:space="preserve">Ad valorem</w:t>
            </w:r>
          </w:p>
        </w:tc>
        <w:tc>
          <w:tcPr/>
          <w:p>
            <w:pPr>
              <w:pStyle w:val="Compact"/>
              <w:jc w:val="left"/>
            </w:pPr>
            <w:r>
              <w:t xml:space="preserve">Stable.</w:t>
            </w:r>
          </w:p>
        </w:tc>
      </w:tr>
      <w:tr>
        <w:tc>
          <w:tcPr/>
          <w:p>
            <w:pPr>
              <w:pStyle w:val="Compact"/>
              <w:jc w:val="left"/>
            </w:pPr>
            <w:r>
              <w:rPr>
                <w:b/>
                <w:bCs/>
              </w:rPr>
              <w:t xml:space="preserve">Telecoms</w:t>
            </w:r>
          </w:p>
        </w:tc>
        <w:tc>
          <w:tcPr/>
          <w:p>
            <w:pPr>
              <w:pStyle w:val="Compact"/>
              <w:jc w:val="left"/>
            </w:pPr>
            <w:r>
              <w:t xml:space="preserve">Internet data</w:t>
            </w:r>
          </w:p>
        </w:tc>
        <w:tc>
          <w:tcPr/>
          <w:p>
            <w:pPr>
              <w:pStyle w:val="Compact"/>
              <w:jc w:val="left"/>
            </w:pPr>
            <w:r>
              <w:t xml:space="preserve">12% of fee</w:t>
            </w:r>
          </w:p>
        </w:tc>
        <w:tc>
          <w:tcPr/>
          <w:p>
            <w:pPr>
              <w:pStyle w:val="Compact"/>
              <w:jc w:val="left"/>
            </w:pPr>
            <w:r>
              <w:t xml:space="preserve">Ad valorem. Medical and education data exempt</w:t>
            </w:r>
          </w:p>
        </w:tc>
        <w:tc>
          <w:tcPr/>
          <w:p>
            <w:pPr>
              <w:pStyle w:val="Compact"/>
              <w:jc w:val="left"/>
            </w:pPr>
            <w:r>
              <w:t xml:space="preserve">Replaced OTT levy in FA2021 (was UGX 200/day).</w:t>
            </w:r>
          </w:p>
        </w:tc>
      </w:tr>
      <w:tr>
        <w:tc>
          <w:tcPr/>
          <w:p>
            <w:pPr>
              <w:pStyle w:val="Compact"/>
              <w:jc w:val="left"/>
            </w:pPr>
            <w:r>
              <w:rPr>
                <w:b/>
                <w:bCs/>
              </w:rPr>
              <w:t xml:space="preserve">Telecoms</w:t>
            </w:r>
          </w:p>
        </w:tc>
        <w:tc>
          <w:tcPr/>
          <w:p>
            <w:pPr>
              <w:pStyle w:val="Compact"/>
              <w:jc w:val="left"/>
            </w:pPr>
            <w:r>
              <w:t xml:space="preserve">Value-added services (SMS, MMS)</w:t>
            </w:r>
          </w:p>
        </w:tc>
        <w:tc>
          <w:tcPr/>
          <w:p>
            <w:pPr>
              <w:pStyle w:val="Compact"/>
              <w:jc w:val="left"/>
            </w:pPr>
            <w:r>
              <w:t xml:space="preserve">12% of fee</w:t>
            </w:r>
          </w:p>
        </w:tc>
        <w:tc>
          <w:tcPr/>
          <w:p>
            <w:pPr>
              <w:pStyle w:val="Compact"/>
              <w:jc w:val="left"/>
            </w:pPr>
            <w:r>
              <w:t xml:space="preserve">Ad valorem. Excludes peer-to-peer SMS, mobile money</w:t>
            </w:r>
          </w:p>
        </w:tc>
        <w:tc>
          <w:tcPr/>
          <w:p>
            <w:pPr>
              <w:pStyle w:val="Compact"/>
              <w:jc w:val="left"/>
            </w:pPr>
            <w:r>
              <w:t xml:space="preserve">Stable.</w:t>
            </w:r>
          </w:p>
        </w:tc>
      </w:tr>
      <w:tr>
        <w:tc>
          <w:tcPr/>
          <w:p>
            <w:pPr>
              <w:pStyle w:val="Compact"/>
              <w:jc w:val="left"/>
            </w:pPr>
            <w:r>
              <w:rPr>
                <w:b/>
                <w:bCs/>
              </w:rPr>
              <w:t xml:space="preserve">Telecoms</w:t>
            </w:r>
          </w:p>
        </w:tc>
        <w:tc>
          <w:tcPr/>
          <w:p>
            <w:pPr>
              <w:pStyle w:val="Compact"/>
              <w:jc w:val="left"/>
            </w:pPr>
            <w:r>
              <w:t xml:space="preserve">Incoming international calls</w:t>
            </w:r>
          </w:p>
        </w:tc>
        <w:tc>
          <w:tcPr/>
          <w:p>
            <w:pPr>
              <w:pStyle w:val="Compact"/>
              <w:jc w:val="left"/>
            </w:pPr>
            <w:r>
              <w:t xml:space="preserve">USD 0.09 / minute</w:t>
            </w:r>
          </w:p>
        </w:tc>
        <w:tc>
          <w:tcPr/>
          <w:p>
            <w:pPr>
              <w:pStyle w:val="Compact"/>
              <w:jc w:val="left"/>
            </w:pPr>
            <w:r>
              <w:t xml:space="preserve">Specific. Excludes KE, RW, SS, TZ, BI</w:t>
            </w:r>
          </w:p>
        </w:tc>
        <w:tc>
          <w:tcPr/>
          <w:p>
            <w:pPr>
              <w:pStyle w:val="Compact"/>
              <w:jc w:val="left"/>
            </w:pPr>
            <w:r>
              <w:t xml:space="preserve">TZ and BI added to exclusion list in FA2024.</w:t>
            </w:r>
          </w:p>
        </w:tc>
      </w:tr>
      <w:tr>
        <w:tc>
          <w:tcPr/>
          <w:p>
            <w:pPr>
              <w:pStyle w:val="Compact"/>
              <w:jc w:val="left"/>
            </w:pPr>
            <w:r>
              <w:rPr>
                <w:b/>
                <w:bCs/>
              </w:rPr>
              <w:t xml:space="preserve">Financial</w:t>
            </w:r>
          </w:p>
        </w:tc>
        <w:tc>
          <w:tcPr/>
          <w:p>
            <w:pPr>
              <w:pStyle w:val="Compact"/>
              <w:jc w:val="left"/>
            </w:pPr>
            <w:r>
              <w:t xml:space="preserve">Mobile money cash withdrawals</w:t>
            </w:r>
          </w:p>
        </w:tc>
        <w:tc>
          <w:tcPr/>
          <w:p>
            <w:pPr>
              <w:pStyle w:val="Compact"/>
              <w:jc w:val="left"/>
            </w:pPr>
            <w:r>
              <w:t xml:space="preserve">0.5% of transaction value</w:t>
            </w:r>
          </w:p>
        </w:tc>
        <w:tc>
          <w:tcPr/>
          <w:p>
            <w:pPr>
              <w:pStyle w:val="Compact"/>
              <w:jc w:val="left"/>
            </w:pPr>
            <w:r>
              <w:t xml:space="preserve">Ad valorem</w:t>
            </w:r>
          </w:p>
        </w:tc>
        <w:tc>
          <w:tcPr/>
          <w:p>
            <w:pPr>
              <w:pStyle w:val="Compact"/>
              <w:jc w:val="left"/>
            </w:pPr>
            <w:r>
              <w:t xml:space="preserve">Stable since 2018 (cut from initial 1%).</w:t>
            </w:r>
          </w:p>
        </w:tc>
      </w:tr>
      <w:tr>
        <w:tc>
          <w:tcPr/>
          <w:p>
            <w:pPr>
              <w:pStyle w:val="Compact"/>
              <w:jc w:val="left"/>
            </w:pPr>
            <w:r>
              <w:rPr>
                <w:b/>
                <w:bCs/>
              </w:rPr>
              <w:t xml:space="preserve">Financial</w:t>
            </w:r>
          </w:p>
        </w:tc>
        <w:tc>
          <w:tcPr/>
          <w:p>
            <w:pPr>
              <w:pStyle w:val="Compact"/>
              <w:jc w:val="left"/>
            </w:pPr>
            <w:r>
              <w:t xml:space="preserve">Payment services (agent banking, Chipper, Wave)</w:t>
            </w:r>
          </w:p>
        </w:tc>
        <w:tc>
          <w:tcPr/>
          <w:p>
            <w:pPr>
              <w:pStyle w:val="Compact"/>
              <w:jc w:val="left"/>
            </w:pPr>
            <w:r>
              <w:t xml:space="preserve">0.5%</w:t>
            </w:r>
          </w:p>
        </w:tc>
        <w:tc>
          <w:tcPr/>
          <w:p>
            <w:pPr>
              <w:pStyle w:val="Compact"/>
              <w:jc w:val="left"/>
            </w:pPr>
            <w:r>
              <w:t xml:space="preserve">Ad valorem</w:t>
            </w:r>
          </w:p>
        </w:tc>
        <w:tc>
          <w:tcPr/>
          <w:p>
            <w:pPr>
              <w:pStyle w:val="Compact"/>
              <w:jc w:val="left"/>
            </w:pPr>
            <w:r>
              <w:t xml:space="preserve">New in FA2024 (equalised with mobile money).</w:t>
            </w:r>
          </w:p>
        </w:tc>
      </w:tr>
      <w:tr>
        <w:tc>
          <w:tcPr/>
          <w:p>
            <w:pPr>
              <w:pStyle w:val="Compact"/>
              <w:jc w:val="left"/>
            </w:pPr>
            <w:r>
              <w:rPr>
                <w:b/>
                <w:bCs/>
              </w:rPr>
              <w:t xml:space="preserve">Financial</w:t>
            </w:r>
          </w:p>
        </w:tc>
        <w:tc>
          <w:tcPr/>
          <w:p>
            <w:pPr>
              <w:pStyle w:val="Compact"/>
              <w:jc w:val="left"/>
            </w:pPr>
            <w:r>
              <w:t xml:space="preserve">Bank ledger fees, ATM fees, transaction charges</w:t>
            </w:r>
          </w:p>
        </w:tc>
        <w:tc>
          <w:tcPr/>
          <w:p>
            <w:pPr>
              <w:pStyle w:val="Compact"/>
              <w:jc w:val="left"/>
            </w:pPr>
            <w:r>
              <w:t xml:space="preserve">15% of fee</w:t>
            </w:r>
          </w:p>
        </w:tc>
        <w:tc>
          <w:tcPr/>
          <w:p>
            <w:pPr>
              <w:pStyle w:val="Compact"/>
              <w:jc w:val="left"/>
            </w:pPr>
            <w:r>
              <w:t xml:space="preserve">Ad valorem. Excludes loan-related charges; Islamic finance equalised</w:t>
            </w:r>
          </w:p>
        </w:tc>
        <w:tc>
          <w:tcPr/>
          <w:p>
            <w:pPr>
              <w:pStyle w:val="Compact"/>
              <w:jc w:val="left"/>
            </w:pPr>
            <w:r>
              <w:t xml:space="preserve">Islamic-finance equivalence introduced FA2023.</w:t>
            </w:r>
          </w:p>
        </w:tc>
      </w:tr>
      <w:tr>
        <w:tc>
          <w:tcPr/>
          <w:p>
            <w:pPr>
              <w:pStyle w:val="Compact"/>
              <w:jc w:val="left"/>
            </w:pPr>
            <w:r>
              <w:rPr>
                <w:b/>
                <w:bCs/>
              </w:rPr>
              <w:t xml:space="preserve">Procedural</w:t>
            </w:r>
          </w:p>
        </w:tc>
        <w:tc>
          <w:tcPr/>
          <w:p>
            <w:pPr>
              <w:pStyle w:val="Compact"/>
              <w:jc w:val="left"/>
            </w:pPr>
            <w:r>
              <w:t xml:space="preserve">Remission for damaged / expired / obsolete goods</w:t>
            </w:r>
          </w:p>
        </w:tc>
        <w:tc>
          <w:tcPr/>
          <w:p>
            <w:pPr>
              <w:pStyle w:val="Compact"/>
              <w:jc w:val="left"/>
            </w:pPr>
            <w:r>
              <w:t xml:space="preserve">Section 13A framework</w:t>
            </w:r>
          </w:p>
        </w:tc>
        <w:tc>
          <w:tcPr/>
          <w:p>
            <w:pPr>
              <w:pStyle w:val="Compact"/>
              <w:jc w:val="left"/>
            </w:pPr>
            <w:r>
              <w:t xml:space="preserve">n/a</w:t>
            </w:r>
          </w:p>
        </w:tc>
        <w:tc>
          <w:tcPr/>
          <w:p>
            <w:pPr>
              <w:pStyle w:val="Compact"/>
              <w:jc w:val="left"/>
            </w:pPr>
            <w:r>
              <w:t xml:space="preserve">New in FA2025.</w:t>
            </w:r>
          </w:p>
        </w:tc>
      </w:tr>
    </w:tbl>
    <w:bookmarkEnd w:id="123"/>
    <w:bookmarkStart w:id="124" w:name="X703b17a46a6f8aba558ef61e3d6f776eff8170f"/>
    <w:p>
      <w:pPr>
        <w:pStyle w:val="Heading2"/>
      </w:pPr>
      <w:r>
        <w:t xml:space="preserve">A.2 Sierra Leone — Excise Act, 1982 as amended through the Finance Act, 2026</w:t>
      </w:r>
    </w:p>
    <w:p>
      <w:pPr>
        <w:pStyle w:val="FirstParagraph"/>
      </w:pPr>
      <w:r>
        <w:t xml:space="preserve">Sierra Leone’s schedule sits in the First Schedule to the Excise Act, 1982. The Act is amended annually through the Finance Acts. The current legal position reflects the Finance Act, 2026, signed by President Bio on 29 December 2025, gazetted 7 January 2026, and effective from 1 January 2026. Note that some legacy lines remain quoted in Old Leones (Le) and have not yet been redenominated to New Leones (NLe); these are flagged in the recent-changes column.</w:t>
      </w:r>
    </w:p>
    <w:tbl>
      <w:tblPr>
        <w:tblStyle w:val="Table"/>
        <w:tblW w:type="pct" w:w="4967"/>
        <w:tblLayout w:type="fixed"/>
        <w:tblLook w:firstRow="1" w:lastRow="0" w:firstColumn="0" w:lastColumn="0" w:noHBand="0" w:noVBand="0" w:val="0020"/>
      </w:tblPr>
      <w:tblGrid>
        <w:gridCol w:w="609"/>
        <w:gridCol w:w="1695"/>
        <w:gridCol w:w="2039"/>
        <w:gridCol w:w="1483"/>
        <w:gridCol w:w="2039"/>
      </w:tblGrid>
      <w:tr>
        <w:trPr>
          <w:tblHeader w:val="on"/>
        </w:trPr>
        <w:tc>
          <w:tcPr/>
          <w:p>
            <w:pPr>
              <w:pStyle w:val="Compact"/>
              <w:jc w:val="left"/>
            </w:pPr>
            <w:r>
              <w:rPr>
                <w:b/>
                <w:bCs/>
              </w:rPr>
              <w:t xml:space="preserve">Category</w:t>
            </w:r>
          </w:p>
        </w:tc>
        <w:tc>
          <w:tcPr/>
          <w:p>
            <w:pPr>
              <w:pStyle w:val="Compact"/>
              <w:jc w:val="left"/>
            </w:pPr>
            <w:r>
              <w:rPr>
                <w:b/>
                <w:bCs/>
              </w:rPr>
              <w:t xml:space="preserve">Item</w:t>
            </w:r>
          </w:p>
        </w:tc>
        <w:tc>
          <w:tcPr/>
          <w:p>
            <w:pPr>
              <w:pStyle w:val="Compact"/>
              <w:jc w:val="left"/>
            </w:pPr>
            <w:r>
              <w:rPr>
                <w:b/>
                <w:bCs/>
              </w:rPr>
              <w:t xml:space="preserve">Current rate</w:t>
            </w:r>
          </w:p>
        </w:tc>
        <w:tc>
          <w:tcPr/>
          <w:p>
            <w:pPr>
              <w:pStyle w:val="Compact"/>
              <w:jc w:val="left"/>
            </w:pPr>
            <w:r>
              <w:rPr>
                <w:b/>
                <w:bCs/>
              </w:rPr>
              <w:t xml:space="preserve">Structure &amp; differentiation</w:t>
            </w:r>
          </w:p>
        </w:tc>
        <w:tc>
          <w:tcPr/>
          <w:p>
            <w:pPr>
              <w:pStyle w:val="Compact"/>
              <w:jc w:val="left"/>
            </w:pPr>
            <w:r>
              <w:rPr>
                <w:b/>
                <w:bCs/>
              </w:rPr>
              <w:t xml:space="preserve">Recent changes</w:t>
            </w:r>
          </w:p>
        </w:tc>
      </w:tr>
      <w:tr>
        <w:tc>
          <w:tcPr/>
          <w:p>
            <w:pPr>
              <w:pStyle w:val="Compact"/>
              <w:jc w:val="left"/>
            </w:pPr>
            <w:r>
              <w:rPr>
                <w:b/>
                <w:bCs/>
              </w:rPr>
              <w:t xml:space="preserve">Energy</w:t>
            </w:r>
          </w:p>
        </w:tc>
        <w:tc>
          <w:tcPr/>
          <w:p>
            <w:pPr>
              <w:pStyle w:val="Compact"/>
              <w:jc w:val="left"/>
            </w:pPr>
            <w:r>
              <w:t xml:space="preserve">Petrol</w:t>
            </w:r>
          </w:p>
        </w:tc>
        <w:tc>
          <w:tcPr/>
          <w:p>
            <w:pPr>
              <w:pStyle w:val="Compact"/>
              <w:jc w:val="left"/>
            </w:pPr>
            <w:r>
              <w:t xml:space="preserve">NLe 5.00 / litre</w:t>
            </w:r>
          </w:p>
        </w:tc>
        <w:tc>
          <w:tcPr/>
          <w:p>
            <w:pPr>
              <w:pStyle w:val="Compact"/>
              <w:jc w:val="left"/>
            </w:pPr>
            <w:r>
              <w:t xml:space="preserve">Specific</w:t>
            </w:r>
          </w:p>
        </w:tc>
        <w:tc>
          <w:tcPr/>
          <w:p>
            <w:pPr>
              <w:pStyle w:val="Compact"/>
              <w:jc w:val="left"/>
            </w:pPr>
            <w:r>
              <w:t xml:space="preserve">Restated and raised in FA2026.</w:t>
            </w:r>
          </w:p>
        </w:tc>
      </w:tr>
      <w:tr>
        <w:tc>
          <w:tcPr/>
          <w:p>
            <w:pPr>
              <w:pStyle w:val="Compact"/>
              <w:jc w:val="left"/>
            </w:pPr>
            <w:r>
              <w:rPr>
                <w:b/>
                <w:bCs/>
              </w:rPr>
              <w:t xml:space="preserve">Energy</w:t>
            </w:r>
          </w:p>
        </w:tc>
        <w:tc>
          <w:tcPr/>
          <w:p>
            <w:pPr>
              <w:pStyle w:val="Compact"/>
              <w:jc w:val="left"/>
            </w:pPr>
            <w:r>
              <w:t xml:space="preserve">Diesel</w:t>
            </w:r>
          </w:p>
        </w:tc>
        <w:tc>
          <w:tcPr/>
          <w:p>
            <w:pPr>
              <w:pStyle w:val="Compact"/>
              <w:jc w:val="left"/>
            </w:pPr>
            <w:r>
              <w:t xml:space="preserve">NLe 5.00 / litre</w:t>
            </w:r>
          </w:p>
        </w:tc>
        <w:tc>
          <w:tcPr/>
          <w:p>
            <w:pPr>
              <w:pStyle w:val="Compact"/>
              <w:jc w:val="left"/>
            </w:pPr>
            <w:r>
              <w:t xml:space="preserve">Specific</w:t>
            </w:r>
          </w:p>
        </w:tc>
        <w:tc>
          <w:tcPr/>
          <w:p>
            <w:pPr>
              <w:pStyle w:val="Compact"/>
              <w:jc w:val="left"/>
            </w:pPr>
            <w:r>
              <w:t xml:space="preserve">Restated and raised in FA2026. Was Le 1.22 → 2.40 in four steps in FA2024.</w:t>
            </w:r>
          </w:p>
        </w:tc>
      </w:tr>
      <w:tr>
        <w:tc>
          <w:tcPr/>
          <w:p>
            <w:pPr>
              <w:pStyle w:val="Compact"/>
              <w:jc w:val="left"/>
            </w:pPr>
            <w:r>
              <w:rPr>
                <w:b/>
                <w:bCs/>
              </w:rPr>
              <w:t xml:space="preserve">Energy</w:t>
            </w:r>
          </w:p>
        </w:tc>
        <w:tc>
          <w:tcPr/>
          <w:p>
            <w:pPr>
              <w:pStyle w:val="Compact"/>
              <w:jc w:val="left"/>
            </w:pPr>
            <w:r>
              <w:t xml:space="preserve">Kerosene</w:t>
            </w:r>
          </w:p>
        </w:tc>
        <w:tc>
          <w:tcPr/>
          <w:p>
            <w:pPr>
              <w:pStyle w:val="Compact"/>
              <w:jc w:val="left"/>
            </w:pPr>
            <w:r>
              <w:t xml:space="preserve">NLe 2.00 / litre</w:t>
            </w:r>
          </w:p>
        </w:tc>
        <w:tc>
          <w:tcPr/>
          <w:p>
            <w:pPr>
              <w:pStyle w:val="Compact"/>
              <w:jc w:val="left"/>
            </w:pPr>
            <w:r>
              <w:t xml:space="preserve">Specific</w:t>
            </w:r>
          </w:p>
        </w:tc>
        <w:tc>
          <w:tcPr/>
          <w:p>
            <w:pPr>
              <w:pStyle w:val="Compact"/>
              <w:jc w:val="left"/>
            </w:pPr>
            <w:r>
              <w:t xml:space="preserve">Restated and raised in FA2026 (was Le 0.81 in FA2024).</w:t>
            </w:r>
          </w:p>
        </w:tc>
      </w:tr>
      <w:tr>
        <w:tc>
          <w:tcPr/>
          <w:p>
            <w:pPr>
              <w:pStyle w:val="Compact"/>
              <w:jc w:val="left"/>
            </w:pPr>
            <w:r>
              <w:rPr>
                <w:b/>
                <w:bCs/>
              </w:rPr>
              <w:t xml:space="preserve">Energy</w:t>
            </w:r>
          </w:p>
        </w:tc>
        <w:tc>
          <w:tcPr/>
          <w:p>
            <w:pPr>
              <w:pStyle w:val="Compact"/>
              <w:jc w:val="left"/>
            </w:pPr>
            <w:r>
              <w:t xml:space="preserve">Fuel oil</w:t>
            </w:r>
          </w:p>
        </w:tc>
        <w:tc>
          <w:tcPr/>
          <w:p>
            <w:pPr>
              <w:pStyle w:val="Compact"/>
              <w:jc w:val="left"/>
            </w:pPr>
            <w:r>
              <w:t xml:space="preserve">NLe 7.40 / litre</w:t>
            </w:r>
          </w:p>
        </w:tc>
        <w:tc>
          <w:tcPr/>
          <w:p>
            <w:pPr>
              <w:pStyle w:val="Compact"/>
              <w:jc w:val="left"/>
            </w:pPr>
            <w:r>
              <w:t xml:space="preserve">Specific</w:t>
            </w:r>
          </w:p>
        </w:tc>
        <w:tc>
          <w:tcPr/>
          <w:p>
            <w:pPr>
              <w:pStyle w:val="Compact"/>
              <w:jc w:val="left"/>
            </w:pPr>
            <w:r>
              <w:t xml:space="preserve">Restated in FA2026 (was Le 4.14 in FA2024).</w:t>
            </w:r>
          </w:p>
        </w:tc>
      </w:tr>
      <w:tr>
        <w:tc>
          <w:tcPr/>
          <w:p>
            <w:pPr>
              <w:pStyle w:val="Compact"/>
              <w:jc w:val="left"/>
            </w:pPr>
            <w:r>
              <w:rPr>
                <w:b/>
                <w:bCs/>
              </w:rPr>
              <w:t xml:space="preserve">Energy</w:t>
            </w:r>
          </w:p>
        </w:tc>
        <w:tc>
          <w:tcPr/>
          <w:p>
            <w:pPr>
              <w:pStyle w:val="Compact"/>
              <w:jc w:val="left"/>
            </w:pPr>
            <w:r>
              <w:t xml:space="preserve">Lubricating oils</w:t>
            </w:r>
          </w:p>
        </w:tc>
        <w:tc>
          <w:tcPr/>
          <w:p>
            <w:pPr>
              <w:pStyle w:val="Compact"/>
              <w:jc w:val="left"/>
            </w:pPr>
            <w:r>
              <w:t xml:space="preserve">NLe 4.00 / litre</w:t>
            </w:r>
          </w:p>
        </w:tc>
        <w:tc>
          <w:tcPr/>
          <w:p>
            <w:pPr>
              <w:pStyle w:val="Compact"/>
              <w:jc w:val="left"/>
            </w:pPr>
            <w:r>
              <w:t xml:space="preserve">Specific</w:t>
            </w:r>
          </w:p>
        </w:tc>
        <w:tc>
          <w:tcPr/>
          <w:p>
            <w:pPr>
              <w:pStyle w:val="Compact"/>
              <w:jc w:val="left"/>
            </w:pPr>
            <w:r>
              <w:t xml:space="preserve">Restated in FA2026 (was Le 2.20 in FA2024).</w:t>
            </w:r>
          </w:p>
        </w:tc>
      </w:tr>
      <w:tr>
        <w:tc>
          <w:tcPr/>
          <w:p>
            <w:pPr>
              <w:pStyle w:val="Compact"/>
              <w:jc w:val="left"/>
            </w:pPr>
            <w:r>
              <w:rPr>
                <w:b/>
                <w:bCs/>
              </w:rPr>
              <w:t xml:space="preserve">Environment</w:t>
            </w:r>
          </w:p>
        </w:tc>
        <w:tc>
          <w:tcPr/>
          <w:p>
            <w:pPr>
              <w:pStyle w:val="Compact"/>
              <w:jc w:val="left"/>
            </w:pPr>
            <w:r>
              <w:t xml:space="preserve">Polyethylene bags &amp; plastic bottles (with beverage, ex-water)</w:t>
            </w:r>
          </w:p>
        </w:tc>
        <w:tc>
          <w:tcPr/>
          <w:p>
            <w:pPr>
              <w:pStyle w:val="Compact"/>
              <w:jc w:val="left"/>
            </w:pPr>
            <w:r>
              <w:t xml:space="preserve">Le 16 / kg</w:t>
            </w:r>
          </w:p>
        </w:tc>
        <w:tc>
          <w:tcPr/>
          <w:p>
            <w:pPr>
              <w:pStyle w:val="Compact"/>
              <w:jc w:val="left"/>
            </w:pPr>
            <w:r>
              <w:t xml:space="preserve">Specific</w:t>
            </w:r>
          </w:p>
        </w:tc>
        <w:tc>
          <w:tcPr/>
          <w:p>
            <w:pPr>
              <w:pStyle w:val="Compact"/>
              <w:jc w:val="left"/>
            </w:pPr>
            <w:r>
              <w:t xml:space="preserve">New in FA2024. Not yet redenominated to NLe.</w:t>
            </w:r>
          </w:p>
        </w:tc>
      </w:tr>
      <w:tr>
        <w:tc>
          <w:tcPr/>
          <w:p>
            <w:pPr>
              <w:pStyle w:val="Compact"/>
              <w:jc w:val="left"/>
            </w:pPr>
            <w:r>
              <w:rPr>
                <w:b/>
                <w:bCs/>
              </w:rPr>
              <w:t xml:space="preserve">Transport</w:t>
            </w:r>
          </w:p>
        </w:tc>
        <w:tc>
          <w:tcPr/>
          <w:p>
            <w:pPr>
              <w:pStyle w:val="Compact"/>
              <w:jc w:val="left"/>
            </w:pPr>
            <w:r>
              <w:t xml:space="preserve">Vehicle annual circulation levy — cars, trucks, buses</w:t>
            </w:r>
          </w:p>
        </w:tc>
        <w:tc>
          <w:tcPr/>
          <w:p>
            <w:pPr>
              <w:pStyle w:val="Compact"/>
              <w:jc w:val="left"/>
            </w:pPr>
            <w:r>
              <w:t xml:space="preserve">NLe 500</w:t>
            </w:r>
          </w:p>
        </w:tc>
        <w:tc>
          <w:tcPr/>
          <w:p>
            <w:pPr>
              <w:pStyle w:val="Compact"/>
              <w:jc w:val="left"/>
            </w:pPr>
            <w:r>
              <w:t xml:space="preserve">Specific lump sum. By vehicle class</w:t>
            </w:r>
          </w:p>
        </w:tc>
        <w:tc>
          <w:tcPr/>
          <w:p>
            <w:pPr>
              <w:pStyle w:val="Compact"/>
              <w:jc w:val="left"/>
            </w:pPr>
            <w:r>
              <w:t xml:space="preserve">New in FA2026.</w:t>
            </w:r>
          </w:p>
        </w:tc>
      </w:tr>
      <w:tr>
        <w:tc>
          <w:tcPr/>
          <w:p>
            <w:pPr>
              <w:pStyle w:val="Compact"/>
              <w:jc w:val="left"/>
            </w:pPr>
            <w:r>
              <w:rPr>
                <w:b/>
                <w:bCs/>
              </w:rPr>
              <w:t xml:space="preserve">Transport</w:t>
            </w:r>
          </w:p>
        </w:tc>
        <w:tc>
          <w:tcPr/>
          <w:p>
            <w:pPr>
              <w:pStyle w:val="Compact"/>
              <w:jc w:val="left"/>
            </w:pPr>
            <w:r>
              <w:t xml:space="preserve">Vehicle circulation levy — large vessels (&gt;15-seater)</w:t>
            </w:r>
          </w:p>
        </w:tc>
        <w:tc>
          <w:tcPr/>
          <w:p>
            <w:pPr>
              <w:pStyle w:val="Compact"/>
              <w:jc w:val="left"/>
            </w:pPr>
            <w:r>
              <w:t xml:space="preserve">USD 1,000 (or NLe equiv.)</w:t>
            </w:r>
          </w:p>
        </w:tc>
        <w:tc>
          <w:tcPr/>
          <w:p>
            <w:pPr>
              <w:pStyle w:val="Compact"/>
              <w:jc w:val="left"/>
            </w:pPr>
            <w:r>
              <w:t xml:space="preserve">Specific. By capacity</w:t>
            </w:r>
          </w:p>
        </w:tc>
        <w:tc>
          <w:tcPr/>
          <w:p>
            <w:pPr>
              <w:pStyle w:val="Compact"/>
              <w:jc w:val="left"/>
            </w:pPr>
            <w:r>
              <w:t xml:space="preserve">New in FA2026.</w:t>
            </w:r>
          </w:p>
        </w:tc>
      </w:tr>
      <w:tr>
        <w:tc>
          <w:tcPr/>
          <w:p>
            <w:pPr>
              <w:pStyle w:val="Compact"/>
              <w:jc w:val="left"/>
            </w:pPr>
            <w:r>
              <w:rPr>
                <w:b/>
                <w:bCs/>
              </w:rPr>
              <w:t xml:space="preserve">Transport</w:t>
            </w:r>
          </w:p>
        </w:tc>
        <w:tc>
          <w:tcPr/>
          <w:p>
            <w:pPr>
              <w:pStyle w:val="Compact"/>
              <w:jc w:val="left"/>
            </w:pPr>
            <w:r>
              <w:t xml:space="preserve">Vehicle circulation levy — vessels (≤15-seater)</w:t>
            </w:r>
          </w:p>
        </w:tc>
        <w:tc>
          <w:tcPr/>
          <w:p>
            <w:pPr>
              <w:pStyle w:val="Compact"/>
              <w:jc w:val="left"/>
            </w:pPr>
            <w:r>
              <w:t xml:space="preserve">USD 500</w:t>
            </w:r>
          </w:p>
        </w:tc>
        <w:tc>
          <w:tcPr/>
          <w:p>
            <w:pPr>
              <w:pStyle w:val="Compact"/>
              <w:jc w:val="left"/>
            </w:pPr>
            <w:r>
              <w:t xml:space="preserve">Specific. By capacity</w:t>
            </w:r>
          </w:p>
        </w:tc>
        <w:tc>
          <w:tcPr/>
          <w:p>
            <w:pPr>
              <w:pStyle w:val="Compact"/>
              <w:jc w:val="left"/>
            </w:pPr>
            <w:r>
              <w:t xml:space="preserve">New in FA2026.</w:t>
            </w:r>
          </w:p>
        </w:tc>
      </w:tr>
      <w:tr>
        <w:tc>
          <w:tcPr/>
          <w:p>
            <w:pPr>
              <w:pStyle w:val="Compact"/>
              <w:jc w:val="left"/>
            </w:pPr>
            <w:r>
              <w:rPr>
                <w:b/>
                <w:bCs/>
              </w:rPr>
              <w:t xml:space="preserve">Transport</w:t>
            </w:r>
          </w:p>
        </w:tc>
        <w:tc>
          <w:tcPr/>
          <w:p>
            <w:pPr>
              <w:pStyle w:val="Compact"/>
              <w:jc w:val="left"/>
            </w:pPr>
            <w:r>
              <w:t xml:space="preserve">Vehicle circulation levy — motorbikes</w:t>
            </w:r>
          </w:p>
        </w:tc>
        <w:tc>
          <w:tcPr/>
          <w:p>
            <w:pPr>
              <w:pStyle w:val="Compact"/>
              <w:jc w:val="left"/>
            </w:pPr>
            <w:r>
              <w:t xml:space="preserve">NLe 200</w:t>
            </w:r>
          </w:p>
        </w:tc>
        <w:tc>
          <w:tcPr/>
          <w:p>
            <w:pPr>
              <w:pStyle w:val="Compact"/>
              <w:jc w:val="left"/>
            </w:pPr>
            <w:r>
              <w:t xml:space="preserve">Specific</w:t>
            </w:r>
          </w:p>
        </w:tc>
        <w:tc>
          <w:tcPr/>
          <w:p>
            <w:pPr>
              <w:pStyle w:val="Compact"/>
              <w:jc w:val="left"/>
            </w:pPr>
            <w:r>
              <w:t xml:space="preserve">New in FA2026.</w:t>
            </w:r>
          </w:p>
        </w:tc>
      </w:tr>
      <w:tr>
        <w:tc>
          <w:tcPr/>
          <w:p>
            <w:pPr>
              <w:pStyle w:val="Compact"/>
              <w:jc w:val="left"/>
            </w:pPr>
            <w:r>
              <w:rPr>
                <w:b/>
                <w:bCs/>
              </w:rPr>
              <w:t xml:space="preserve">Health (tobacco)</w:t>
            </w:r>
          </w:p>
        </w:tc>
        <w:tc>
          <w:tcPr/>
          <w:p>
            <w:pPr>
              <w:pStyle w:val="Compact"/>
              <w:jc w:val="left"/>
            </w:pPr>
            <w:r>
              <w:t xml:space="preserve">Cigarettes</w:t>
            </w:r>
          </w:p>
        </w:tc>
        <w:tc>
          <w:tcPr/>
          <w:p>
            <w:pPr>
              <w:pStyle w:val="Compact"/>
              <w:jc w:val="left"/>
            </w:pPr>
            <w:r>
              <w:t xml:space="preserve">NLe 3 / packet of 20 sticks</w:t>
            </w:r>
          </w:p>
        </w:tc>
        <w:tc>
          <w:tcPr/>
          <w:p>
            <w:pPr>
              <w:pStyle w:val="Compact"/>
              <w:jc w:val="left"/>
            </w:pPr>
            <w:r>
              <w:t xml:space="preserve">Specific</w:t>
            </w:r>
          </w:p>
        </w:tc>
        <w:tc>
          <w:tcPr/>
          <w:p>
            <w:pPr>
              <w:pStyle w:val="Compact"/>
              <w:jc w:val="left"/>
            </w:pPr>
            <w:r>
              <w:t xml:space="preserve">Raised 50% from NLe 2 (FA2025) in FA2026.</w:t>
            </w:r>
          </w:p>
        </w:tc>
      </w:tr>
      <w:tr>
        <w:tc>
          <w:tcPr/>
          <w:p>
            <w:pPr>
              <w:pStyle w:val="Compact"/>
              <w:jc w:val="left"/>
            </w:pPr>
            <w:r>
              <w:rPr>
                <w:b/>
                <w:bCs/>
              </w:rPr>
              <w:t xml:space="preserve">Health (tobacco)</w:t>
            </w:r>
          </w:p>
        </w:tc>
        <w:tc>
          <w:tcPr/>
          <w:p>
            <w:pPr>
              <w:pStyle w:val="Compact"/>
              <w:jc w:val="left"/>
            </w:pPr>
            <w:r>
              <w:t xml:space="preserve">Cigars, cheroots, cigarillos</w:t>
            </w:r>
          </w:p>
        </w:tc>
        <w:tc>
          <w:tcPr/>
          <w:p>
            <w:pPr>
              <w:pStyle w:val="Compact"/>
              <w:jc w:val="left"/>
            </w:pPr>
            <w:r>
              <w:t xml:space="preserve">NLe 38 / packet</w:t>
            </w:r>
          </w:p>
        </w:tc>
        <w:tc>
          <w:tcPr/>
          <w:p>
            <w:pPr>
              <w:pStyle w:val="Compact"/>
              <w:jc w:val="left"/>
            </w:pPr>
            <w:r>
              <w:t xml:space="preserve">Specific</w:t>
            </w:r>
          </w:p>
        </w:tc>
        <w:tc>
          <w:tcPr/>
          <w:p>
            <w:pPr>
              <w:pStyle w:val="Compact"/>
              <w:jc w:val="left"/>
            </w:pPr>
            <w:r>
              <w:t xml:space="preserve">Raised from NLe 25 (FA2025) in FA2026.</w:t>
            </w:r>
          </w:p>
        </w:tc>
      </w:tr>
      <w:tr>
        <w:tc>
          <w:tcPr/>
          <w:p>
            <w:pPr>
              <w:pStyle w:val="Compact"/>
              <w:jc w:val="left"/>
            </w:pPr>
            <w:r>
              <w:rPr>
                <w:b/>
                <w:bCs/>
              </w:rPr>
              <w:t xml:space="preserve">Health (tobacco)</w:t>
            </w:r>
          </w:p>
        </w:tc>
        <w:tc>
          <w:tcPr/>
          <w:p>
            <w:pPr>
              <w:pStyle w:val="Compact"/>
              <w:jc w:val="left"/>
            </w:pPr>
            <w:r>
              <w:t xml:space="preserve">Unmanufactured tobacco</w:t>
            </w:r>
          </w:p>
        </w:tc>
        <w:tc>
          <w:tcPr/>
          <w:p>
            <w:pPr>
              <w:pStyle w:val="Compact"/>
              <w:jc w:val="left"/>
            </w:pPr>
            <w:r>
              <w:t xml:space="preserve">NLe 98 / kg</w:t>
            </w:r>
          </w:p>
        </w:tc>
        <w:tc>
          <w:tcPr/>
          <w:p>
            <w:pPr>
              <w:pStyle w:val="Compact"/>
              <w:jc w:val="left"/>
            </w:pPr>
            <w:r>
              <w:t xml:space="preserve">Specific</w:t>
            </w:r>
          </w:p>
        </w:tc>
        <w:tc>
          <w:tcPr/>
          <w:p>
            <w:pPr>
              <w:pStyle w:val="Compact"/>
              <w:jc w:val="left"/>
            </w:pPr>
            <w:r>
              <w:t xml:space="preserve">Raised from NLe 65 (FA2025) in FA2026.</w:t>
            </w:r>
          </w:p>
        </w:tc>
      </w:tr>
      <w:tr>
        <w:tc>
          <w:tcPr/>
          <w:p>
            <w:pPr>
              <w:pStyle w:val="Compact"/>
              <w:jc w:val="left"/>
            </w:pPr>
            <w:r>
              <w:rPr>
                <w:b/>
                <w:bCs/>
              </w:rPr>
              <w:t xml:space="preserve">Health (tobacco)</w:t>
            </w:r>
          </w:p>
        </w:tc>
        <w:tc>
          <w:tcPr/>
          <w:p>
            <w:pPr>
              <w:pStyle w:val="Compact"/>
              <w:jc w:val="left"/>
            </w:pPr>
            <w:r>
              <w:t xml:space="preserve">Other manufactured / homogenised tobacco</w:t>
            </w:r>
          </w:p>
        </w:tc>
        <w:tc>
          <w:tcPr/>
          <w:p>
            <w:pPr>
              <w:pStyle w:val="Compact"/>
              <w:jc w:val="left"/>
            </w:pPr>
            <w:r>
              <w:t xml:space="preserve">NLe 98 / kg</w:t>
            </w:r>
          </w:p>
        </w:tc>
        <w:tc>
          <w:tcPr/>
          <w:p>
            <w:pPr>
              <w:pStyle w:val="Compact"/>
              <w:jc w:val="left"/>
            </w:pPr>
            <w:r>
              <w:t xml:space="preserve">Specific</w:t>
            </w:r>
          </w:p>
        </w:tc>
        <w:tc>
          <w:tcPr/>
          <w:p>
            <w:pPr>
              <w:pStyle w:val="Compact"/>
              <w:jc w:val="left"/>
            </w:pPr>
            <w:r>
              <w:t xml:space="preserve">Raised from NLe 65 (FA2025) in FA2026.</w:t>
            </w:r>
          </w:p>
        </w:tc>
      </w:tr>
      <w:tr>
        <w:tc>
          <w:tcPr/>
          <w:p>
            <w:pPr>
              <w:pStyle w:val="Compact"/>
              <w:jc w:val="left"/>
            </w:pPr>
            <w:r>
              <w:rPr>
                <w:b/>
                <w:bCs/>
              </w:rPr>
              <w:t xml:space="preserve">Health (tobacco)</w:t>
            </w:r>
          </w:p>
        </w:tc>
        <w:tc>
          <w:tcPr/>
          <w:p>
            <w:pPr>
              <w:pStyle w:val="Compact"/>
              <w:jc w:val="left"/>
            </w:pPr>
            <w:r>
              <w:t xml:space="preserve">Shisha, hookah, herbal molasses, vaping alternatives</w:t>
            </w:r>
          </w:p>
        </w:tc>
        <w:tc>
          <w:tcPr/>
          <w:p>
            <w:pPr>
              <w:pStyle w:val="Compact"/>
              <w:jc w:val="left"/>
            </w:pPr>
            <w:r>
              <w:t xml:space="preserve">NLe 98 / kg + NLe 225 / litre</w:t>
            </w:r>
          </w:p>
        </w:tc>
        <w:tc>
          <w:tcPr/>
          <w:p>
            <w:pPr>
              <w:pStyle w:val="Compact"/>
              <w:jc w:val="left"/>
            </w:pPr>
            <w:r>
              <w:t xml:space="preserve">Specific (combined)</w:t>
            </w:r>
          </w:p>
        </w:tc>
        <w:tc>
          <w:tcPr/>
          <w:p>
            <w:pPr>
              <w:pStyle w:val="Compact"/>
              <w:jc w:val="left"/>
            </w:pPr>
            <w:r>
              <w:t xml:space="preserve">Raised from NLe 65 + NLe 175 in FA2026.</w:t>
            </w:r>
          </w:p>
        </w:tc>
      </w:tr>
      <w:tr>
        <w:tc>
          <w:tcPr/>
          <w:p>
            <w:pPr>
              <w:pStyle w:val="Compact"/>
              <w:jc w:val="left"/>
            </w:pPr>
            <w:r>
              <w:rPr>
                <w:b/>
                <w:bCs/>
              </w:rPr>
              <w:t xml:space="preserve">Health (tobacco)</w:t>
            </w:r>
          </w:p>
        </w:tc>
        <w:tc>
          <w:tcPr/>
          <w:p>
            <w:pPr>
              <w:pStyle w:val="Compact"/>
              <w:jc w:val="left"/>
            </w:pPr>
            <w:r>
              <w:t xml:space="preserve">E-cigarette device</w:t>
            </w:r>
          </w:p>
        </w:tc>
        <w:tc>
          <w:tcPr/>
          <w:p>
            <w:pPr>
              <w:pStyle w:val="Compact"/>
              <w:jc w:val="left"/>
            </w:pPr>
            <w:r>
              <w:t xml:space="preserve">NLe 0.75 / ml</w:t>
            </w:r>
          </w:p>
        </w:tc>
        <w:tc>
          <w:tcPr/>
          <w:p>
            <w:pPr>
              <w:pStyle w:val="Compact"/>
              <w:jc w:val="left"/>
            </w:pPr>
            <w:r>
              <w:t xml:space="preserve">Specific</w:t>
            </w:r>
          </w:p>
        </w:tc>
        <w:tc>
          <w:tcPr/>
          <w:p>
            <w:pPr>
              <w:pStyle w:val="Compact"/>
              <w:jc w:val="left"/>
            </w:pPr>
            <w:r>
              <w:t xml:space="preserve">Raised from NLe 0.5 in FA2026 (introduced FA2024).</w:t>
            </w:r>
          </w:p>
        </w:tc>
      </w:tr>
      <w:tr>
        <w:tc>
          <w:tcPr/>
          <w:p>
            <w:pPr>
              <w:pStyle w:val="Compact"/>
              <w:jc w:val="left"/>
            </w:pPr>
            <w:r>
              <w:rPr>
                <w:b/>
                <w:bCs/>
              </w:rPr>
              <w:t xml:space="preserve">Health (tobacco)</w:t>
            </w:r>
          </w:p>
        </w:tc>
        <w:tc>
          <w:tcPr/>
          <w:p>
            <w:pPr>
              <w:pStyle w:val="Compact"/>
              <w:jc w:val="left"/>
            </w:pPr>
            <w:r>
              <w:t xml:space="preserve">E-cigarette cartridge</w:t>
            </w:r>
          </w:p>
        </w:tc>
        <w:tc>
          <w:tcPr/>
          <w:p>
            <w:pPr>
              <w:pStyle w:val="Compact"/>
              <w:jc w:val="left"/>
            </w:pPr>
            <w:r>
              <w:t xml:space="preserve">NLe 1.20 / unit</w:t>
            </w:r>
          </w:p>
        </w:tc>
        <w:tc>
          <w:tcPr/>
          <w:p>
            <w:pPr>
              <w:pStyle w:val="Compact"/>
              <w:jc w:val="left"/>
            </w:pPr>
            <w:r>
              <w:t xml:space="preserve">Specific</w:t>
            </w:r>
          </w:p>
        </w:tc>
        <w:tc>
          <w:tcPr/>
          <w:p>
            <w:pPr>
              <w:pStyle w:val="Compact"/>
              <w:jc w:val="left"/>
            </w:pPr>
            <w:r>
              <w:t xml:space="preserve">Raised from NLe 0.8 in FA2026 (introduced FA2024).</w:t>
            </w:r>
          </w:p>
        </w:tc>
      </w:tr>
      <w:tr>
        <w:tc>
          <w:tcPr/>
          <w:p>
            <w:pPr>
              <w:pStyle w:val="Compact"/>
              <w:jc w:val="left"/>
            </w:pPr>
            <w:r>
              <w:rPr>
                <w:b/>
                <w:bCs/>
              </w:rPr>
              <w:t xml:space="preserve">Health (alcohol)</w:t>
            </w:r>
          </w:p>
        </w:tc>
        <w:tc>
          <w:tcPr/>
          <w:p>
            <w:pPr>
              <w:pStyle w:val="Compact"/>
              <w:jc w:val="left"/>
            </w:pPr>
            <w:r>
              <w:t xml:space="preserve">Beer made from malt — stout, porter, beer, non-alcoholic</w:t>
            </w:r>
          </w:p>
        </w:tc>
        <w:tc>
          <w:tcPr/>
          <w:p>
            <w:pPr>
              <w:pStyle w:val="Compact"/>
              <w:jc w:val="left"/>
            </w:pPr>
            <w:r>
              <w:t xml:space="preserve">Le 0.01 / cl OR Le 10 / litre local; Le 0.015 / cl OR Le 15 / litre import</w:t>
            </w:r>
          </w:p>
        </w:tc>
        <w:tc>
          <w:tcPr/>
          <w:p>
            <w:pPr>
              <w:pStyle w:val="Compact"/>
              <w:jc w:val="left"/>
            </w:pPr>
            <w:r>
              <w:t xml:space="preserve">Hybrid. By origin</w:t>
            </w:r>
          </w:p>
        </w:tc>
        <w:tc>
          <w:tcPr/>
          <w:p>
            <w:pPr>
              <w:pStyle w:val="Compact"/>
              <w:jc w:val="left"/>
            </w:pPr>
            <w:r>
              <w:t xml:space="preserve">Restructured in FA2024. Quoted in Old Le; not yet redenominated.</w:t>
            </w:r>
          </w:p>
        </w:tc>
      </w:tr>
      <w:tr>
        <w:tc>
          <w:tcPr/>
          <w:p>
            <w:pPr>
              <w:pStyle w:val="Compact"/>
              <w:jc w:val="left"/>
            </w:pPr>
            <w:r>
              <w:rPr>
                <w:b/>
                <w:bCs/>
              </w:rPr>
              <w:t xml:space="preserve">Health (alcohol)</w:t>
            </w:r>
          </w:p>
        </w:tc>
        <w:tc>
          <w:tcPr/>
          <w:p>
            <w:pPr>
              <w:pStyle w:val="Compact"/>
              <w:jc w:val="left"/>
            </w:pPr>
            <w:r>
              <w:t xml:space="preserve">Beer 22.09 — D1 (&gt;80% local raw material)</w:t>
            </w:r>
          </w:p>
        </w:tc>
        <w:tc>
          <w:tcPr/>
          <w:p>
            <w:pPr>
              <w:pStyle w:val="Compact"/>
              <w:jc w:val="left"/>
            </w:pPr>
            <w:r>
              <w:t xml:space="preserve">5% (&lt;10% ABV); 8% (10–20%); 12% (≥20%)</w:t>
            </w:r>
          </w:p>
        </w:tc>
        <w:tc>
          <w:tcPr/>
          <w:p>
            <w:pPr>
              <w:pStyle w:val="Compact"/>
              <w:jc w:val="left"/>
            </w:pPr>
            <w:r>
              <w:t xml:space="preserve">Ad valorem. By local-content share &amp; ABV</w:t>
            </w:r>
          </w:p>
        </w:tc>
        <w:tc>
          <w:tcPr/>
          <w:p>
            <w:pPr>
              <w:pStyle w:val="Compact"/>
              <w:jc w:val="left"/>
            </w:pPr>
            <w:r>
              <w:t xml:space="preserve">Re-tiered with ABV bands in FA2025.</w:t>
            </w:r>
          </w:p>
        </w:tc>
      </w:tr>
      <w:tr>
        <w:tc>
          <w:tcPr/>
          <w:p>
            <w:pPr>
              <w:pStyle w:val="Compact"/>
              <w:jc w:val="left"/>
            </w:pPr>
            <w:r>
              <w:rPr>
                <w:b/>
                <w:bCs/>
              </w:rPr>
              <w:t xml:space="preserve">Health (alcohol)</w:t>
            </w:r>
          </w:p>
        </w:tc>
        <w:tc>
          <w:tcPr/>
          <w:p>
            <w:pPr>
              <w:pStyle w:val="Compact"/>
              <w:jc w:val="left"/>
            </w:pPr>
            <w:r>
              <w:t xml:space="preserve">Beer 22.09 — D2 (&gt;70–80% local)</w:t>
            </w:r>
          </w:p>
        </w:tc>
        <w:tc>
          <w:tcPr/>
          <w:p>
            <w:pPr>
              <w:pStyle w:val="Compact"/>
              <w:jc w:val="left"/>
            </w:pPr>
            <w:r>
              <w:t xml:space="preserve">8% / 12% / 15% across ABV bands</w:t>
            </w:r>
          </w:p>
        </w:tc>
        <w:tc>
          <w:tcPr/>
          <w:p>
            <w:pPr>
              <w:pStyle w:val="Compact"/>
              <w:jc w:val="left"/>
            </w:pPr>
            <w:r>
              <w:t xml:space="preserve">Ad valorem. By local-content share &amp; ABV</w:t>
            </w:r>
          </w:p>
        </w:tc>
        <w:tc>
          <w:tcPr/>
          <w:p>
            <w:pPr>
              <w:pStyle w:val="Compact"/>
              <w:jc w:val="left"/>
            </w:pPr>
            <w:r>
              <w:t xml:space="preserve">Re-tiered with ABV bands in FA2025.</w:t>
            </w:r>
          </w:p>
        </w:tc>
      </w:tr>
      <w:tr>
        <w:tc>
          <w:tcPr/>
          <w:p>
            <w:pPr>
              <w:pStyle w:val="Compact"/>
              <w:jc w:val="left"/>
            </w:pPr>
            <w:r>
              <w:rPr>
                <w:b/>
                <w:bCs/>
              </w:rPr>
              <w:t xml:space="preserve">Health (alcohol)</w:t>
            </w:r>
          </w:p>
        </w:tc>
        <w:tc>
          <w:tcPr/>
          <w:p>
            <w:pPr>
              <w:pStyle w:val="Compact"/>
              <w:jc w:val="left"/>
            </w:pPr>
            <w:r>
              <w:t xml:space="preserve">Beer 22.09 — D3 (&gt;60–70% local)</w:t>
            </w:r>
          </w:p>
        </w:tc>
        <w:tc>
          <w:tcPr/>
          <w:p>
            <w:pPr>
              <w:pStyle w:val="Compact"/>
              <w:jc w:val="left"/>
            </w:pPr>
            <w:r>
              <w:t xml:space="preserve">12% / 15% / 17.5% across ABV bands</w:t>
            </w:r>
          </w:p>
        </w:tc>
        <w:tc>
          <w:tcPr/>
          <w:p>
            <w:pPr>
              <w:pStyle w:val="Compact"/>
              <w:jc w:val="left"/>
            </w:pPr>
            <w:r>
              <w:t xml:space="preserve">Ad valorem. By local-content share &amp; ABV</w:t>
            </w:r>
          </w:p>
        </w:tc>
        <w:tc>
          <w:tcPr/>
          <w:p>
            <w:pPr>
              <w:pStyle w:val="Compact"/>
              <w:jc w:val="left"/>
            </w:pPr>
            <w:r>
              <w:t xml:space="preserve">Re-tiered with ABV bands in FA2025.</w:t>
            </w:r>
          </w:p>
        </w:tc>
      </w:tr>
      <w:tr>
        <w:tc>
          <w:tcPr/>
          <w:p>
            <w:pPr>
              <w:pStyle w:val="Compact"/>
              <w:jc w:val="left"/>
            </w:pPr>
            <w:r>
              <w:rPr>
                <w:b/>
                <w:bCs/>
              </w:rPr>
              <w:t xml:space="preserve">Health (alcohol)</w:t>
            </w:r>
          </w:p>
        </w:tc>
        <w:tc>
          <w:tcPr/>
          <w:p>
            <w:pPr>
              <w:pStyle w:val="Compact"/>
              <w:jc w:val="left"/>
            </w:pPr>
            <w:r>
              <w:t xml:space="preserve">Beer 22.09 — D4 (&gt;30–60% local)</w:t>
            </w:r>
          </w:p>
        </w:tc>
        <w:tc>
          <w:tcPr/>
          <w:p>
            <w:pPr>
              <w:pStyle w:val="Compact"/>
              <w:jc w:val="left"/>
            </w:pPr>
            <w:r>
              <w:t xml:space="preserve">15% / 17.5% / 20% across ABV bands</w:t>
            </w:r>
          </w:p>
        </w:tc>
        <w:tc>
          <w:tcPr/>
          <w:p>
            <w:pPr>
              <w:pStyle w:val="Compact"/>
              <w:jc w:val="left"/>
            </w:pPr>
            <w:r>
              <w:t xml:space="preserve">Ad valorem. By local-content share &amp; ABV</w:t>
            </w:r>
          </w:p>
        </w:tc>
        <w:tc>
          <w:tcPr/>
          <w:p>
            <w:pPr>
              <w:pStyle w:val="Compact"/>
              <w:jc w:val="left"/>
            </w:pPr>
            <w:r>
              <w:t xml:space="preserve">D4 widened from 50–60% to 30–60% in FA2025.</w:t>
            </w:r>
          </w:p>
        </w:tc>
      </w:tr>
      <w:tr>
        <w:tc>
          <w:tcPr/>
          <w:p>
            <w:pPr>
              <w:pStyle w:val="Compact"/>
              <w:jc w:val="left"/>
            </w:pPr>
            <w:r>
              <w:rPr>
                <w:b/>
                <w:bCs/>
              </w:rPr>
              <w:t xml:space="preserve">Health (alcohol)</w:t>
            </w:r>
          </w:p>
        </w:tc>
        <w:tc>
          <w:tcPr/>
          <w:p>
            <w:pPr>
              <w:pStyle w:val="Compact"/>
              <w:jc w:val="left"/>
            </w:pPr>
            <w:r>
              <w:t xml:space="preserve">Wine — sparkling, ≤10% ABV</w:t>
            </w:r>
          </w:p>
        </w:tc>
        <w:tc>
          <w:tcPr/>
          <w:p>
            <w:pPr>
              <w:pStyle w:val="Compact"/>
              <w:jc w:val="left"/>
            </w:pPr>
            <w:r>
              <w:t xml:space="preserve">Le 4.20 / litre local; Le 10 / litre import</w:t>
            </w:r>
          </w:p>
        </w:tc>
        <w:tc>
          <w:tcPr/>
          <w:p>
            <w:pPr>
              <w:pStyle w:val="Compact"/>
              <w:jc w:val="left"/>
            </w:pPr>
            <w:r>
              <w:t xml:space="preserve">Specific. By origin &amp; ABV</w:t>
            </w:r>
          </w:p>
        </w:tc>
        <w:tc>
          <w:tcPr/>
          <w:p>
            <w:pPr>
              <w:pStyle w:val="Compact"/>
              <w:jc w:val="left"/>
            </w:pPr>
            <w:r>
              <w:t xml:space="preserve">Set in FA2024. Old Le not yet redenominated — see A4.3.</w:t>
            </w:r>
          </w:p>
        </w:tc>
      </w:tr>
      <w:tr>
        <w:tc>
          <w:tcPr/>
          <w:p>
            <w:pPr>
              <w:pStyle w:val="Compact"/>
              <w:jc w:val="left"/>
            </w:pPr>
            <w:r>
              <w:rPr>
                <w:b/>
                <w:bCs/>
              </w:rPr>
              <w:t xml:space="preserve">Health (alcohol)</w:t>
            </w:r>
          </w:p>
        </w:tc>
        <w:tc>
          <w:tcPr/>
          <w:p>
            <w:pPr>
              <w:pStyle w:val="Compact"/>
              <w:jc w:val="left"/>
            </w:pPr>
            <w:r>
              <w:t xml:space="preserve">Wine — 10–20% ABV</w:t>
            </w:r>
          </w:p>
        </w:tc>
        <w:tc>
          <w:tcPr/>
          <w:p>
            <w:pPr>
              <w:pStyle w:val="Compact"/>
              <w:jc w:val="left"/>
            </w:pPr>
            <w:r>
              <w:t xml:space="preserve">Le 6.30 / litre local; Le 12 / litre import</w:t>
            </w:r>
          </w:p>
        </w:tc>
        <w:tc>
          <w:tcPr/>
          <w:p>
            <w:pPr>
              <w:pStyle w:val="Compact"/>
              <w:jc w:val="left"/>
            </w:pPr>
            <w:r>
              <w:t xml:space="preserve">Specific. By origin &amp; ABV</w:t>
            </w:r>
          </w:p>
        </w:tc>
        <w:tc>
          <w:tcPr/>
          <w:p>
            <w:pPr>
              <w:pStyle w:val="Compact"/>
              <w:jc w:val="left"/>
            </w:pPr>
            <w:r>
              <w:t xml:space="preserve">Set in FA2024. Old Le not yet redenominated.</w:t>
            </w:r>
          </w:p>
        </w:tc>
      </w:tr>
      <w:tr>
        <w:tc>
          <w:tcPr/>
          <w:p>
            <w:pPr>
              <w:pStyle w:val="Compact"/>
              <w:jc w:val="left"/>
            </w:pPr>
            <w:r>
              <w:rPr>
                <w:b/>
                <w:bCs/>
              </w:rPr>
              <w:t xml:space="preserve">Health (alcohol)</w:t>
            </w:r>
          </w:p>
        </w:tc>
        <w:tc>
          <w:tcPr/>
          <w:p>
            <w:pPr>
              <w:pStyle w:val="Compact"/>
              <w:jc w:val="left"/>
            </w:pPr>
            <w:r>
              <w:t xml:space="preserve">Wine — 20–30% ABV</w:t>
            </w:r>
          </w:p>
        </w:tc>
        <w:tc>
          <w:tcPr/>
          <w:p>
            <w:pPr>
              <w:pStyle w:val="Compact"/>
              <w:jc w:val="left"/>
            </w:pPr>
            <w:r>
              <w:t xml:space="preserve">Le 8.30 / litre local; Le 14 / litre import</w:t>
            </w:r>
          </w:p>
        </w:tc>
        <w:tc>
          <w:tcPr/>
          <w:p>
            <w:pPr>
              <w:pStyle w:val="Compact"/>
              <w:jc w:val="left"/>
            </w:pPr>
            <w:r>
              <w:t xml:space="preserve">Specific. By origin &amp; ABV</w:t>
            </w:r>
          </w:p>
        </w:tc>
        <w:tc>
          <w:tcPr/>
          <w:p>
            <w:pPr>
              <w:pStyle w:val="Compact"/>
              <w:jc w:val="left"/>
            </w:pPr>
            <w:r>
              <w:t xml:space="preserve">Set in FA2024. Old Le not yet redenominated.</w:t>
            </w:r>
          </w:p>
        </w:tc>
      </w:tr>
      <w:tr>
        <w:tc>
          <w:tcPr/>
          <w:p>
            <w:pPr>
              <w:pStyle w:val="Compact"/>
              <w:jc w:val="left"/>
            </w:pPr>
            <w:r>
              <w:rPr>
                <w:b/>
                <w:bCs/>
              </w:rPr>
              <w:t xml:space="preserve">Health (alcohol)</w:t>
            </w:r>
          </w:p>
        </w:tc>
        <w:tc>
          <w:tcPr/>
          <w:p>
            <w:pPr>
              <w:pStyle w:val="Compact"/>
              <w:jc w:val="left"/>
            </w:pPr>
            <w:r>
              <w:t xml:space="preserve">Wine — 30–40% ABV</w:t>
            </w:r>
          </w:p>
        </w:tc>
        <w:tc>
          <w:tcPr/>
          <w:p>
            <w:pPr>
              <w:pStyle w:val="Compact"/>
              <w:jc w:val="left"/>
            </w:pPr>
            <w:r>
              <w:t xml:space="preserve">Le 10.40 / litre local; Le 16 / litre import</w:t>
            </w:r>
          </w:p>
        </w:tc>
        <w:tc>
          <w:tcPr/>
          <w:p>
            <w:pPr>
              <w:pStyle w:val="Compact"/>
              <w:jc w:val="left"/>
            </w:pPr>
            <w:r>
              <w:t xml:space="preserve">Specific. By origin &amp; ABV</w:t>
            </w:r>
          </w:p>
        </w:tc>
        <w:tc>
          <w:tcPr/>
          <w:p>
            <w:pPr>
              <w:pStyle w:val="Compact"/>
              <w:jc w:val="left"/>
            </w:pPr>
            <w:r>
              <w:t xml:space="preserve">Set in FA2024. Old Le not yet redenominated.</w:t>
            </w:r>
          </w:p>
        </w:tc>
      </w:tr>
      <w:tr>
        <w:tc>
          <w:tcPr/>
          <w:p>
            <w:pPr>
              <w:pStyle w:val="Compact"/>
              <w:jc w:val="left"/>
            </w:pPr>
            <w:r>
              <w:rPr>
                <w:b/>
                <w:bCs/>
              </w:rPr>
              <w:t xml:space="preserve">Health (alcohol)</w:t>
            </w:r>
          </w:p>
        </w:tc>
        <w:tc>
          <w:tcPr/>
          <w:p>
            <w:pPr>
              <w:pStyle w:val="Compact"/>
              <w:jc w:val="left"/>
            </w:pPr>
            <w:r>
              <w:t xml:space="preserve">Wine — &gt;40% ABV</w:t>
            </w:r>
          </w:p>
        </w:tc>
        <w:tc>
          <w:tcPr/>
          <w:p>
            <w:pPr>
              <w:pStyle w:val="Compact"/>
              <w:jc w:val="left"/>
            </w:pPr>
            <w:r>
              <w:t xml:space="preserve">Le 15.0 / litre local; Le 22 / litre import</w:t>
            </w:r>
          </w:p>
        </w:tc>
        <w:tc>
          <w:tcPr/>
          <w:p>
            <w:pPr>
              <w:pStyle w:val="Compact"/>
              <w:jc w:val="left"/>
            </w:pPr>
            <w:r>
              <w:t xml:space="preserve">Specific. By origin &amp; ABV</w:t>
            </w:r>
          </w:p>
        </w:tc>
        <w:tc>
          <w:tcPr/>
          <w:p>
            <w:pPr>
              <w:pStyle w:val="Compact"/>
              <w:jc w:val="left"/>
            </w:pPr>
            <w:r>
              <w:t xml:space="preserve">Set in FA2024. Old Le not yet redenominated.</w:t>
            </w:r>
          </w:p>
        </w:tc>
      </w:tr>
      <w:tr>
        <w:tc>
          <w:tcPr/>
          <w:p>
            <w:pPr>
              <w:pStyle w:val="Compact"/>
              <w:jc w:val="left"/>
            </w:pPr>
            <w:r>
              <w:rPr>
                <w:b/>
                <w:bCs/>
              </w:rPr>
              <w:t xml:space="preserve">Health (SSB)</w:t>
            </w:r>
          </w:p>
        </w:tc>
        <w:tc>
          <w:tcPr/>
          <w:p>
            <w:pPr>
              <w:pStyle w:val="Compact"/>
              <w:jc w:val="left"/>
            </w:pPr>
            <w:r>
              <w:t xml:space="preserve">Energy drinks</w:t>
            </w:r>
          </w:p>
        </w:tc>
        <w:tc>
          <w:tcPr/>
          <w:p>
            <w:pPr>
              <w:pStyle w:val="Compact"/>
              <w:jc w:val="left"/>
            </w:pPr>
            <w:r>
              <w:t xml:space="preserve">20%</w:t>
            </w:r>
          </w:p>
        </w:tc>
        <w:tc>
          <w:tcPr/>
          <w:p>
            <w:pPr>
              <w:pStyle w:val="Compact"/>
              <w:jc w:val="left"/>
            </w:pPr>
            <w:r>
              <w:t xml:space="preserve">Ad valorem</w:t>
            </w:r>
          </w:p>
        </w:tc>
        <w:tc>
          <w:tcPr/>
          <w:p>
            <w:pPr>
              <w:pStyle w:val="Compact"/>
              <w:jc w:val="left"/>
            </w:pPr>
            <w:r>
              <w:t xml:space="preserve">Stable since pre-2020.</w:t>
            </w:r>
          </w:p>
        </w:tc>
      </w:tr>
      <w:tr>
        <w:tc>
          <w:tcPr/>
          <w:p>
            <w:pPr>
              <w:pStyle w:val="Compact"/>
              <w:jc w:val="left"/>
            </w:pPr>
            <w:r>
              <w:rPr>
                <w:b/>
                <w:bCs/>
              </w:rPr>
              <w:t xml:space="preserve">Health (SSB)</w:t>
            </w:r>
          </w:p>
        </w:tc>
        <w:tc>
          <w:tcPr/>
          <w:p>
            <w:pPr>
              <w:pStyle w:val="Compact"/>
              <w:jc w:val="left"/>
            </w:pPr>
            <w:r>
              <w:t xml:space="preserve">Imported fruit and vegetable juice</w:t>
            </w:r>
          </w:p>
        </w:tc>
        <w:tc>
          <w:tcPr/>
          <w:p>
            <w:pPr>
              <w:pStyle w:val="Compact"/>
              <w:jc w:val="left"/>
            </w:pPr>
            <w:r>
              <w:t xml:space="preserve">20%</w:t>
            </w:r>
          </w:p>
        </w:tc>
        <w:tc>
          <w:tcPr/>
          <w:p>
            <w:pPr>
              <w:pStyle w:val="Compact"/>
              <w:jc w:val="left"/>
            </w:pPr>
            <w:r>
              <w:t xml:space="preserve">Ad valorem. Imported only</w:t>
            </w:r>
          </w:p>
        </w:tc>
        <w:tc>
          <w:tcPr/>
          <w:p>
            <w:pPr>
              <w:pStyle w:val="Compact"/>
              <w:jc w:val="left"/>
            </w:pPr>
            <w:r>
              <w:t xml:space="preserve">Introduced in FA2020.</w:t>
            </w:r>
          </w:p>
        </w:tc>
      </w:tr>
      <w:tr>
        <w:tc>
          <w:tcPr/>
          <w:p>
            <w:pPr>
              <w:pStyle w:val="Compact"/>
              <w:jc w:val="left"/>
            </w:pPr>
            <w:r>
              <w:rPr>
                <w:b/>
                <w:bCs/>
              </w:rPr>
              <w:t xml:space="preserve">Health (SSB)</w:t>
            </w:r>
          </w:p>
        </w:tc>
        <w:tc>
          <w:tcPr/>
          <w:p>
            <w:pPr>
              <w:pStyle w:val="Compact"/>
              <w:jc w:val="left"/>
            </w:pPr>
            <w:r>
              <w:t xml:space="preserve">Bottled / processed water</w:t>
            </w:r>
          </w:p>
        </w:tc>
        <w:tc>
          <w:tcPr/>
          <w:p>
            <w:pPr>
              <w:pStyle w:val="Compact"/>
              <w:jc w:val="left"/>
            </w:pPr>
            <w:r>
              <w:t xml:space="preserve">Within schedule</w:t>
            </w:r>
          </w:p>
        </w:tc>
        <w:tc>
          <w:tcPr/>
          <w:p>
            <w:pPr>
              <w:pStyle w:val="Compact"/>
              <w:jc w:val="left"/>
            </w:pPr>
            <w:r>
              <w:t xml:space="preserve">Ad valorem</w:t>
            </w:r>
          </w:p>
        </w:tc>
        <w:tc>
          <w:tcPr/>
          <w:p>
            <w:pPr>
              <w:pStyle w:val="Compact"/>
              <w:jc w:val="left"/>
            </w:pPr>
            <w:r>
              <w:t xml:space="preserve">Stable.</w:t>
            </w:r>
          </w:p>
        </w:tc>
      </w:tr>
      <w:tr>
        <w:tc>
          <w:tcPr/>
          <w:p>
            <w:pPr>
              <w:pStyle w:val="Compact"/>
              <w:jc w:val="left"/>
            </w:pPr>
            <w:r>
              <w:rPr>
                <w:b/>
                <w:bCs/>
              </w:rPr>
              <w:t xml:space="preserve">Health (other)</w:t>
            </w:r>
          </w:p>
        </w:tc>
        <w:tc>
          <w:tcPr/>
          <w:p>
            <w:pPr>
              <w:pStyle w:val="Compact"/>
              <w:jc w:val="left"/>
            </w:pPr>
            <w:r>
              <w:t xml:space="preserve">Gambling, betting and lottery services</w:t>
            </w:r>
          </w:p>
        </w:tc>
        <w:tc>
          <w:tcPr/>
          <w:p>
            <w:pPr>
              <w:pStyle w:val="Compact"/>
              <w:jc w:val="left"/>
            </w:pPr>
            <w:r>
              <w:t xml:space="preserve">10% of net wagered</w:t>
            </w:r>
          </w:p>
        </w:tc>
        <w:tc>
          <w:tcPr/>
          <w:p>
            <w:pPr>
              <w:pStyle w:val="Compact"/>
              <w:jc w:val="left"/>
            </w:pPr>
            <w:r>
              <w:t xml:space="preserve">Ad valorem on (gross gambling revenue minus winnings)</w:t>
            </w:r>
          </w:p>
        </w:tc>
        <w:tc>
          <w:tcPr/>
          <w:p>
            <w:pPr>
              <w:pStyle w:val="Compact"/>
              <w:jc w:val="left"/>
            </w:pPr>
            <w:r>
              <w:t xml:space="preserve">New in FA2024 (item 98.01).</w:t>
            </w:r>
          </w:p>
        </w:tc>
      </w:tr>
      <w:tr>
        <w:tc>
          <w:tcPr/>
          <w:p>
            <w:pPr>
              <w:pStyle w:val="Compact"/>
              <w:jc w:val="left"/>
            </w:pPr>
            <w:r>
              <w:rPr>
                <w:b/>
                <w:bCs/>
              </w:rPr>
              <w:t xml:space="preserve">Industrial</w:t>
            </w:r>
          </w:p>
        </w:tc>
        <w:tc>
          <w:tcPr/>
          <w:p>
            <w:pPr>
              <w:pStyle w:val="Compact"/>
              <w:jc w:val="left"/>
            </w:pPr>
            <w:r>
              <w:t xml:space="preserve">Cement (Portland, slag, super-sulphate, hydraulic)</w:t>
            </w:r>
          </w:p>
        </w:tc>
        <w:tc>
          <w:tcPr/>
          <w:p>
            <w:pPr>
              <w:pStyle w:val="Compact"/>
              <w:jc w:val="left"/>
            </w:pPr>
            <w:r>
              <w:t xml:space="preserve">NLe 10 / 50 kg bag</w:t>
            </w:r>
          </w:p>
        </w:tc>
        <w:tc>
          <w:tcPr/>
          <w:p>
            <w:pPr>
              <w:pStyle w:val="Compact"/>
              <w:jc w:val="left"/>
            </w:pPr>
            <w:r>
              <w:t xml:space="preserve">Specific</w:t>
            </w:r>
          </w:p>
        </w:tc>
        <w:tc>
          <w:tcPr/>
          <w:p>
            <w:pPr>
              <w:pStyle w:val="Compact"/>
              <w:jc w:val="left"/>
            </w:pPr>
            <w:r>
              <w:t xml:space="preserve">New in FA2026.</w:t>
            </w:r>
          </w:p>
        </w:tc>
      </w:tr>
      <w:tr>
        <w:tc>
          <w:tcPr/>
          <w:p>
            <w:pPr>
              <w:pStyle w:val="Compact"/>
              <w:jc w:val="left"/>
            </w:pPr>
            <w:r>
              <w:rPr>
                <w:b/>
                <w:bCs/>
              </w:rPr>
              <w:t xml:space="preserve">Industrial</w:t>
            </w:r>
          </w:p>
        </w:tc>
        <w:tc>
          <w:tcPr/>
          <w:p>
            <w:pPr>
              <w:pStyle w:val="Compact"/>
              <w:jc w:val="left"/>
            </w:pPr>
            <w:r>
              <w:t xml:space="preserve">Vegetable oils, palm olein, margarine</w:t>
            </w:r>
          </w:p>
        </w:tc>
        <w:tc>
          <w:tcPr/>
          <w:p>
            <w:pPr>
              <w:pStyle w:val="Compact"/>
              <w:jc w:val="left"/>
            </w:pPr>
            <w:r>
              <w:t xml:space="preserve">10%</w:t>
            </w:r>
          </w:p>
        </w:tc>
        <w:tc>
          <w:tcPr/>
          <w:p>
            <w:pPr>
              <w:pStyle w:val="Compact"/>
              <w:jc w:val="left"/>
            </w:pPr>
            <w:r>
              <w:t xml:space="preserve">Ad valorem</w:t>
            </w:r>
          </w:p>
        </w:tc>
        <w:tc>
          <w:tcPr/>
          <w:p>
            <w:pPr>
              <w:pStyle w:val="Compact"/>
              <w:jc w:val="left"/>
            </w:pPr>
            <w:r>
              <w:t xml:space="preserve">Introduced in FA2021.</w:t>
            </w:r>
          </w:p>
        </w:tc>
      </w:tr>
      <w:tr>
        <w:tc>
          <w:tcPr/>
          <w:p>
            <w:pPr>
              <w:pStyle w:val="Compact"/>
              <w:jc w:val="left"/>
            </w:pPr>
            <w:r>
              <w:rPr>
                <w:b/>
                <w:bCs/>
              </w:rPr>
              <w:t xml:space="preserve">Industrial</w:t>
            </w:r>
          </w:p>
        </w:tc>
        <w:tc>
          <w:tcPr/>
          <w:p>
            <w:pPr>
              <w:pStyle w:val="Compact"/>
              <w:jc w:val="left"/>
            </w:pPr>
            <w:r>
              <w:t xml:space="preserve">Soaps (toilet, multipurpose, household, laundry)</w:t>
            </w:r>
          </w:p>
        </w:tc>
        <w:tc>
          <w:tcPr/>
          <w:p>
            <w:pPr>
              <w:pStyle w:val="Compact"/>
              <w:jc w:val="left"/>
            </w:pPr>
            <w:r>
              <w:t xml:space="preserve">20%</w:t>
            </w:r>
          </w:p>
        </w:tc>
        <w:tc>
          <w:tcPr/>
          <w:p>
            <w:pPr>
              <w:pStyle w:val="Compact"/>
              <w:jc w:val="left"/>
            </w:pPr>
            <w:r>
              <w:t xml:space="preserve">Ad valorem</w:t>
            </w:r>
          </w:p>
        </w:tc>
        <w:tc>
          <w:tcPr/>
          <w:p>
            <w:pPr>
              <w:pStyle w:val="Compact"/>
              <w:jc w:val="left"/>
            </w:pPr>
            <w:r>
              <w:t xml:space="preserve">Introduced in FA2021.</w:t>
            </w:r>
          </w:p>
        </w:tc>
      </w:tr>
      <w:tr>
        <w:tc>
          <w:tcPr/>
          <w:p>
            <w:pPr>
              <w:pStyle w:val="Compact"/>
              <w:jc w:val="left"/>
            </w:pPr>
            <w:r>
              <w:rPr>
                <w:b/>
                <w:bCs/>
              </w:rPr>
              <w:t xml:space="preserve">Industrial</w:t>
            </w:r>
          </w:p>
        </w:tc>
        <w:tc>
          <w:tcPr/>
          <w:p>
            <w:pPr>
              <w:pStyle w:val="Compact"/>
              <w:jc w:val="left"/>
            </w:pPr>
            <w:r>
              <w:t xml:space="preserve">Industrial fatty-acid oils, palmitic acid, stearic acid</w:t>
            </w:r>
          </w:p>
        </w:tc>
        <w:tc>
          <w:tcPr/>
          <w:p>
            <w:pPr>
              <w:pStyle w:val="Compact"/>
              <w:jc w:val="left"/>
            </w:pPr>
            <w:r>
              <w:t xml:space="preserve">20%</w:t>
            </w:r>
          </w:p>
        </w:tc>
        <w:tc>
          <w:tcPr/>
          <w:p>
            <w:pPr>
              <w:pStyle w:val="Compact"/>
              <w:jc w:val="left"/>
            </w:pPr>
            <w:r>
              <w:t xml:space="preserve">Ad valorem</w:t>
            </w:r>
          </w:p>
        </w:tc>
        <w:tc>
          <w:tcPr/>
          <w:p>
            <w:pPr>
              <w:pStyle w:val="Compact"/>
              <w:jc w:val="left"/>
            </w:pPr>
            <w:r>
              <w:t xml:space="preserve">Introduced in FA2021.</w:t>
            </w:r>
          </w:p>
        </w:tc>
      </w:tr>
      <w:tr>
        <w:tc>
          <w:tcPr/>
          <w:p>
            <w:pPr>
              <w:pStyle w:val="Compact"/>
              <w:jc w:val="left"/>
            </w:pPr>
            <w:r>
              <w:rPr>
                <w:b/>
                <w:bCs/>
              </w:rPr>
              <w:t xml:space="preserve">Industrial</w:t>
            </w:r>
          </w:p>
        </w:tc>
        <w:tc>
          <w:tcPr/>
          <w:p>
            <w:pPr>
              <w:pStyle w:val="Compact"/>
              <w:jc w:val="left"/>
            </w:pPr>
            <w:r>
              <w:t xml:space="preserve">Nails</w:t>
            </w:r>
          </w:p>
        </w:tc>
        <w:tc>
          <w:tcPr/>
          <w:p>
            <w:pPr>
              <w:pStyle w:val="Compact"/>
              <w:jc w:val="left"/>
            </w:pPr>
            <w:r>
              <w:t xml:space="preserve">5%</w:t>
            </w:r>
          </w:p>
        </w:tc>
        <w:tc>
          <w:tcPr/>
          <w:p>
            <w:pPr>
              <w:pStyle w:val="Compact"/>
              <w:jc w:val="left"/>
            </w:pPr>
            <w:r>
              <w:t xml:space="preserve">Ad valorem</w:t>
            </w:r>
          </w:p>
        </w:tc>
        <w:tc>
          <w:tcPr/>
          <w:p>
            <w:pPr>
              <w:pStyle w:val="Compact"/>
              <w:jc w:val="left"/>
            </w:pPr>
            <w:r>
              <w:t xml:space="preserve">Introduced in FA2021.</w:t>
            </w:r>
          </w:p>
        </w:tc>
      </w:tr>
      <w:tr>
        <w:tc>
          <w:tcPr/>
          <w:p>
            <w:pPr>
              <w:pStyle w:val="Compact"/>
              <w:jc w:val="left"/>
            </w:pPr>
            <w:r>
              <w:rPr>
                <w:b/>
                <w:bCs/>
              </w:rPr>
              <w:t xml:space="preserve">Telecoms (levy)</w:t>
            </w:r>
          </w:p>
        </w:tc>
        <w:tc>
          <w:tcPr/>
          <w:p>
            <w:pPr>
              <w:pStyle w:val="Compact"/>
              <w:jc w:val="left"/>
            </w:pPr>
            <w:r>
              <w:t xml:space="preserve">On-net mobile voice calls</w:t>
            </w:r>
          </w:p>
        </w:tc>
        <w:tc>
          <w:tcPr/>
          <w:p>
            <w:pPr>
              <w:pStyle w:val="Compact"/>
              <w:jc w:val="left"/>
            </w:pPr>
            <w:r>
              <w:t xml:space="preserve">Le 0.1 / minute</w:t>
            </w:r>
          </w:p>
        </w:tc>
        <w:tc>
          <w:tcPr/>
          <w:p>
            <w:pPr>
              <w:pStyle w:val="Compact"/>
              <w:jc w:val="left"/>
            </w:pPr>
            <w:r>
              <w:t xml:space="preserve">Specific</w:t>
            </w:r>
          </w:p>
        </w:tc>
        <w:tc>
          <w:tcPr/>
          <w:p>
            <w:pPr>
              <w:pStyle w:val="Compact"/>
              <w:jc w:val="left"/>
            </w:pPr>
            <w:r>
              <w:t xml:space="preserve">New in FA2023. Levy under Finance Act, not Excise Act.</w:t>
            </w:r>
          </w:p>
        </w:tc>
      </w:tr>
      <w:tr>
        <w:tc>
          <w:tcPr/>
          <w:p>
            <w:pPr>
              <w:pStyle w:val="Compact"/>
              <w:jc w:val="left"/>
            </w:pPr>
            <w:r>
              <w:rPr>
                <w:b/>
                <w:bCs/>
              </w:rPr>
              <w:t xml:space="preserve">Telecoms (levy)</w:t>
            </w:r>
          </w:p>
        </w:tc>
        <w:tc>
          <w:tcPr/>
          <w:p>
            <w:pPr>
              <w:pStyle w:val="Compact"/>
              <w:jc w:val="left"/>
            </w:pPr>
            <w:r>
              <w:t xml:space="preserve">Off-net mobile voice calls</w:t>
            </w:r>
          </w:p>
        </w:tc>
        <w:tc>
          <w:tcPr/>
          <w:p>
            <w:pPr>
              <w:pStyle w:val="Compact"/>
              <w:jc w:val="left"/>
            </w:pPr>
            <w:r>
              <w:t xml:space="preserve">Le 0.05 / minute</w:t>
            </w:r>
          </w:p>
        </w:tc>
        <w:tc>
          <w:tcPr/>
          <w:p>
            <w:pPr>
              <w:pStyle w:val="Compact"/>
              <w:jc w:val="left"/>
            </w:pPr>
            <w:r>
              <w:t xml:space="preserve">Specific</w:t>
            </w:r>
          </w:p>
        </w:tc>
        <w:tc>
          <w:tcPr/>
          <w:p>
            <w:pPr>
              <w:pStyle w:val="Compact"/>
              <w:jc w:val="left"/>
            </w:pPr>
            <w:r>
              <w:t xml:space="preserve">New in FA2023.</w:t>
            </w:r>
          </w:p>
        </w:tc>
      </w:tr>
      <w:tr>
        <w:tc>
          <w:tcPr/>
          <w:p>
            <w:pPr>
              <w:pStyle w:val="Compact"/>
              <w:jc w:val="left"/>
            </w:pPr>
            <w:r>
              <w:rPr>
                <w:b/>
                <w:bCs/>
              </w:rPr>
              <w:t xml:space="preserve">Telecoms (levy)</w:t>
            </w:r>
          </w:p>
        </w:tc>
        <w:tc>
          <w:tcPr/>
          <w:p>
            <w:pPr>
              <w:pStyle w:val="Compact"/>
              <w:jc w:val="left"/>
            </w:pPr>
            <w:r>
              <w:t xml:space="preserve">Outgoing international voice calls</w:t>
            </w:r>
          </w:p>
        </w:tc>
        <w:tc>
          <w:tcPr/>
          <w:p>
            <w:pPr>
              <w:pStyle w:val="Compact"/>
              <w:jc w:val="left"/>
            </w:pPr>
            <w:r>
              <w:t xml:space="preserve">Le 0.2 / minute</w:t>
            </w:r>
          </w:p>
        </w:tc>
        <w:tc>
          <w:tcPr/>
          <w:p>
            <w:pPr>
              <w:pStyle w:val="Compact"/>
              <w:jc w:val="left"/>
            </w:pPr>
            <w:r>
              <w:t xml:space="preserve">Specific</w:t>
            </w:r>
          </w:p>
        </w:tc>
        <w:tc>
          <w:tcPr/>
          <w:p>
            <w:pPr>
              <w:pStyle w:val="Compact"/>
              <w:jc w:val="left"/>
            </w:pPr>
            <w:r>
              <w:t xml:space="preserve">New in FA2023.</w:t>
            </w:r>
          </w:p>
        </w:tc>
      </w:tr>
      <w:tr>
        <w:tc>
          <w:tcPr/>
          <w:p>
            <w:pPr>
              <w:pStyle w:val="Compact"/>
              <w:jc w:val="left"/>
            </w:pPr>
            <w:r>
              <w:rPr>
                <w:b/>
                <w:bCs/>
              </w:rPr>
              <w:t xml:space="preserve">Telecoms (levy)</w:t>
            </w:r>
          </w:p>
        </w:tc>
        <w:tc>
          <w:tcPr/>
          <w:p>
            <w:pPr>
              <w:pStyle w:val="Compact"/>
              <w:jc w:val="left"/>
            </w:pPr>
            <w:r>
              <w:t xml:space="preserve">Mobile money commissions</w:t>
            </w:r>
          </w:p>
        </w:tc>
        <w:tc>
          <w:tcPr/>
          <w:p>
            <w:pPr>
              <w:pStyle w:val="Compact"/>
              <w:jc w:val="left"/>
            </w:pPr>
            <w:r>
              <w:t xml:space="preserve">2%</w:t>
            </w:r>
          </w:p>
        </w:tc>
        <w:tc>
          <w:tcPr/>
          <w:p>
            <w:pPr>
              <w:pStyle w:val="Compact"/>
              <w:jc w:val="left"/>
            </w:pPr>
            <w:r>
              <w:t xml:space="preserve">Ad valorem on commissions</w:t>
            </w:r>
          </w:p>
        </w:tc>
        <w:tc>
          <w:tcPr/>
          <w:p>
            <w:pPr>
              <w:pStyle w:val="Compact"/>
              <w:jc w:val="left"/>
            </w:pPr>
            <w:r>
              <w:t xml:space="preserve">New in FA2023.</w:t>
            </w:r>
          </w:p>
        </w:tc>
      </w:tr>
      <w:tr>
        <w:tc>
          <w:tcPr/>
          <w:p>
            <w:pPr>
              <w:pStyle w:val="Compact"/>
              <w:jc w:val="left"/>
            </w:pPr>
            <w:r>
              <w:rPr>
                <w:b/>
                <w:bCs/>
              </w:rPr>
              <w:t xml:space="preserve">Telecoms (levy)</w:t>
            </w:r>
          </w:p>
        </w:tc>
        <w:tc>
          <w:tcPr/>
          <w:p>
            <w:pPr>
              <w:pStyle w:val="Compact"/>
              <w:jc w:val="left"/>
            </w:pPr>
            <w:r>
              <w:t xml:space="preserve">Mobile data</w:t>
            </w:r>
          </w:p>
        </w:tc>
        <w:tc>
          <w:tcPr/>
          <w:p>
            <w:pPr>
              <w:pStyle w:val="Compact"/>
              <w:jc w:val="left"/>
            </w:pPr>
            <w:r>
              <w:t xml:space="preserve">Up to 5% of recharge / bundle value</w:t>
            </w:r>
          </w:p>
        </w:tc>
        <w:tc>
          <w:tcPr/>
          <w:p>
            <w:pPr>
              <w:pStyle w:val="Compact"/>
              <w:jc w:val="left"/>
            </w:pPr>
            <w:r>
              <w:t xml:space="preserve">Ad valorem</w:t>
            </w:r>
          </w:p>
        </w:tc>
        <w:tc>
          <w:tcPr/>
          <w:p>
            <w:pPr>
              <w:pStyle w:val="Compact"/>
              <w:jc w:val="left"/>
            </w:pPr>
            <w:r>
              <w:t xml:space="preserve">New in FA2023.</w:t>
            </w:r>
          </w:p>
        </w:tc>
      </w:tr>
      <w:tr>
        <w:tc>
          <w:tcPr/>
          <w:p>
            <w:pPr>
              <w:pStyle w:val="Compact"/>
              <w:jc w:val="left"/>
            </w:pPr>
            <w:r>
              <w:rPr>
                <w:b/>
                <w:bCs/>
              </w:rPr>
              <w:t xml:space="preserve">Procedural</w:t>
            </w:r>
          </w:p>
        </w:tc>
        <w:tc>
          <w:tcPr/>
          <w:p>
            <w:pPr>
              <w:pStyle w:val="Compact"/>
              <w:jc w:val="left"/>
            </w:pPr>
            <w:r>
              <w:t xml:space="preserve">Excise duty payment window</w:t>
            </w:r>
          </w:p>
        </w:tc>
        <w:tc>
          <w:tcPr/>
          <w:p>
            <w:pPr>
              <w:pStyle w:val="Compact"/>
              <w:jc w:val="left"/>
            </w:pPr>
            <w:r>
              <w:t xml:space="preserve">21 days from removal / at importation</w:t>
            </w:r>
          </w:p>
        </w:tc>
        <w:tc>
          <w:tcPr/>
          <w:p>
            <w:pPr>
              <w:pStyle w:val="Compact"/>
              <w:jc w:val="left"/>
            </w:pPr>
            <w:r>
              <w:t xml:space="preserve">n/a</w:t>
            </w:r>
          </w:p>
        </w:tc>
        <w:tc>
          <w:tcPr/>
          <w:p>
            <w:pPr>
              <w:pStyle w:val="Compact"/>
              <w:jc w:val="left"/>
            </w:pPr>
            <w:r>
              <w:t xml:space="preserve">New section 5 in FA2025.</w:t>
            </w:r>
          </w:p>
        </w:tc>
      </w:tr>
      <w:tr>
        <w:tc>
          <w:tcPr/>
          <w:p>
            <w:pPr>
              <w:pStyle w:val="Compact"/>
              <w:jc w:val="left"/>
            </w:pPr>
            <w:r>
              <w:rPr>
                <w:b/>
                <w:bCs/>
              </w:rPr>
              <w:t xml:space="preserve">Procedural</w:t>
            </w:r>
          </w:p>
        </w:tc>
        <w:tc>
          <w:tcPr/>
          <w:p>
            <w:pPr>
              <w:pStyle w:val="Compact"/>
              <w:jc w:val="left"/>
            </w:pPr>
            <w:r>
              <w:t xml:space="preserve">Excise return filing</w:t>
            </w:r>
          </w:p>
        </w:tc>
        <w:tc>
          <w:tcPr/>
          <w:p>
            <w:pPr>
              <w:pStyle w:val="Compact"/>
              <w:jc w:val="left"/>
            </w:pPr>
            <w:r>
              <w:t xml:space="preserve">Periodic, with graduated late-filing and non-filing penalties</w:t>
            </w:r>
          </w:p>
        </w:tc>
        <w:tc>
          <w:tcPr/>
          <w:p>
            <w:pPr>
              <w:pStyle w:val="Compact"/>
              <w:jc w:val="left"/>
            </w:pPr>
            <w:r>
              <w:t xml:space="preserve">n/a. By taxpayer category</w:t>
            </w:r>
          </w:p>
        </w:tc>
        <w:tc>
          <w:tcPr/>
          <w:p>
            <w:pPr>
              <w:pStyle w:val="Compact"/>
              <w:jc w:val="left"/>
            </w:pPr>
            <w:r>
              <w:t xml:space="preserve">New section 48A in FA2025.</w:t>
            </w:r>
          </w:p>
        </w:tc>
      </w:tr>
    </w:tbl>
    <w:bookmarkEnd w:id="124"/>
    <w:bookmarkEnd w:id="125"/>
    <w:bookmarkStart w:id="143" w:name="appendix-b.-recent-changes-year-by-year"/>
    <w:p>
      <w:pPr>
        <w:pStyle w:val="Heading1"/>
      </w:pPr>
      <w:r>
        <w:t xml:space="preserve">Appendix B. Recent changes, year by year</w:t>
      </w:r>
    </w:p>
    <w:p>
      <w:pPr>
        <w:pStyle w:val="FirstParagraph"/>
      </w:pPr>
      <w:r>
        <w:t xml:space="preserve">This appendix documents the year-by-year changes that produced the current law shown in Appendix A. For each country, it begins with the starting position at the start of 2020 and tracks the substantive amendments in each Finance Act (Sierra Leone) or Excise Duty Amendment Act (Uganda) through to the most recent enacted instrument. Pending bills are flagged separately.</w:t>
      </w:r>
    </w:p>
    <w:bookmarkStart w:id="134" w:name="b.1-uganda"/>
    <w:p>
      <w:pPr>
        <w:pStyle w:val="Heading2"/>
      </w:pPr>
      <w:r>
        <w:t xml:space="preserve">B.1 Uganda</w:t>
      </w:r>
    </w:p>
    <w:bookmarkStart w:id="126" w:name="X9dcc877356175a7eaa17249c1f3e3af0c9072b7"/>
    <w:p>
      <w:pPr>
        <w:pStyle w:val="Heading3"/>
      </w:pPr>
      <w:r>
        <w:t xml:space="preserve">Starting position: FY 2019/20, before the Excise Duty (Amendment) Act, 2020</w:t>
      </w:r>
    </w:p>
    <w:p>
      <w:pPr>
        <w:pStyle w:val="FirstParagraph"/>
      </w:pPr>
      <w:r>
        <w:t xml:space="preserve">The schedule at the start of 2020 reflected accumulated amendments through Act 12 of 2019. The main lines were as follows. Tobacco: specific rates by pack type and origin — locally manufactured soft cap UGX 55,000 per 1,000 sticks, imported soft cap UGX 75,000; locally manufactured hinge lid UGX 80,000, imported hinge lid UGX 100,000. Cigars and other tobacco at 200% ad valorem. Alcohol: malt beer 60% or UGX 2,050/litre; beer with ≥75% local raw material 30% or UGX 650/litre; opaque beer 30% or UGX 650/litre; un-denatured spirits from local raw materials 60% or UGX 2,000/litre; from imported raw materials 100% or UGX 2,500/litre. Fuel: petrol UGX 1,200/litre; diesel UGX 880/litre; kerosene UGX 200/litre. Telecommunications: 12% on airtime, with a separate UGX 200/day OTT (over-the-top) social-media levy outside the Schedule. Financial services: 0.5% on mobile money cash withdrawals, 15% on bank ledger and ATM fees.</w:t>
      </w:r>
    </w:p>
    <w:bookmarkEnd w:id="126"/>
    <w:bookmarkStart w:id="127" w:name="X305c8871b89453e91f06fff451c285cb3e21f22"/>
    <w:p>
      <w:pPr>
        <w:pStyle w:val="Heading3"/>
      </w:pPr>
      <w:r>
        <w:t xml:space="preserve">Excise Duty (Amendment) Act, 2020 (Act 21/2020, effective 1 July 2020)</w:t>
      </w:r>
    </w:p>
    <w:p>
      <w:pPr>
        <w:numPr>
          <w:ilvl w:val="0"/>
          <w:numId w:val="1017"/>
        </w:numPr>
      </w:pPr>
      <w:r>
        <w:t xml:space="preserve">Petrol: UGX 1,200 → 1,350/litre. Diesel: UGX 880 → 1,030/litre.</w:t>
      </w:r>
    </w:p>
    <w:p>
      <w:pPr>
        <w:numPr>
          <w:ilvl w:val="0"/>
          <w:numId w:val="1017"/>
        </w:numPr>
      </w:pPr>
      <w:r>
        <w:t xml:space="preserve">Un-denatured spirits from local raw materials: UGX 2,000 → 1,500/litre (60% rate retained).</w:t>
      </w:r>
    </w:p>
    <w:p>
      <w:pPr>
        <w:numPr>
          <w:ilvl w:val="0"/>
          <w:numId w:val="1017"/>
        </w:numPr>
      </w:pPr>
      <w:r>
        <w:t xml:space="preserve">Fruit and vegetable juice: UGX 300 → 250/litre.</w:t>
      </w:r>
    </w:p>
    <w:p>
      <w:pPr>
        <w:numPr>
          <w:ilvl w:val="0"/>
          <w:numId w:val="1017"/>
        </w:numPr>
      </w:pPr>
      <w:r>
        <w:t xml:space="preserve">COVID-19 measures: nil rate on un-denatured spirits used for sanitiser / disinfectant production (≥75% alcohol content); plastic bag duty introduced at UGX 10,000/kg with sanitary-pad and food / juice / tea / coffee packaging exemptions.</w:t>
      </w:r>
    </w:p>
    <w:bookmarkEnd w:id="127"/>
    <w:bookmarkStart w:id="128" w:name="Xd671e3b8fe6962c050fba921520c1847c671222"/>
    <w:p>
      <w:pPr>
        <w:pStyle w:val="Heading3"/>
      </w:pPr>
      <w:r>
        <w:t xml:space="preserve">Excise Duty (Amendment) Acts, 2021 (Acts 6 and 16/2021, effective 1 July 2021)</w:t>
      </w:r>
    </w:p>
    <w:p>
      <w:pPr>
        <w:numPr>
          <w:ilvl w:val="0"/>
          <w:numId w:val="1018"/>
        </w:numPr>
      </w:pPr>
      <w:r>
        <w:t xml:space="preserve">Petrol: 1,350 → 1,450/litre. Diesel: 1,030 → 1,130/litre.</w:t>
      </w:r>
    </w:p>
    <w:p>
      <w:pPr>
        <w:numPr>
          <w:ilvl w:val="0"/>
          <w:numId w:val="1018"/>
        </w:numPr>
      </w:pPr>
      <w:r>
        <w:t xml:space="preserve">OTT levy repealed; replaced by 12% excise on internet data, with medical and education data exempted.</w:t>
      </w:r>
    </w:p>
    <w:p>
      <w:pPr>
        <w:numPr>
          <w:ilvl w:val="0"/>
          <w:numId w:val="1018"/>
        </w:numPr>
      </w:pPr>
      <w:r>
        <w:t xml:space="preserve">Opaque beer cut from 30% or UGX 650/litre to 20% or UGX 230/litre.</w:t>
      </w:r>
    </w:p>
    <w:p>
      <w:pPr>
        <w:numPr>
          <w:ilvl w:val="0"/>
          <w:numId w:val="1018"/>
        </w:numPr>
      </w:pPr>
      <w:r>
        <w:t xml:space="preserve">“Any other locally produced alcoholic beverage” brought in at 20% or UGX 230/litre — formalising tax on Kombucha, Kaziire, etc.</w:t>
      </w:r>
    </w:p>
    <w:p>
      <w:pPr>
        <w:numPr>
          <w:ilvl w:val="0"/>
          <w:numId w:val="1018"/>
        </w:numPr>
      </w:pPr>
      <w:r>
        <w:t xml:space="preserve">New line: other fermented beverages (cider, perry, mead, near beer) — 60% or UGX 950/litre imported; 30% or UGX 550/litre locally grown.</w:t>
      </w:r>
    </w:p>
    <w:bookmarkEnd w:id="128"/>
    <w:bookmarkStart w:id="129" w:name="excise-duty-amendment-act-2022"/>
    <w:p>
      <w:pPr>
        <w:pStyle w:val="Heading3"/>
      </w:pPr>
      <w:r>
        <w:t xml:space="preserve">Excise Duty (Amendment) Act, 2022</w:t>
      </w:r>
    </w:p>
    <w:p>
      <w:pPr>
        <w:pStyle w:val="FirstParagraph"/>
      </w:pPr>
      <w:r>
        <w:t xml:space="preserve">Largely an inflation-adjustment package. Parliament rejected an opposition proposal to cut petrol back to UGX 750/litre. Fuel rates held at 1,450/1,130. Minor rate corrections elsewhere; no major new excisable items.</w:t>
      </w:r>
    </w:p>
    <w:bookmarkEnd w:id="129"/>
    <w:bookmarkStart w:id="130" w:name="Xfff7361513542a94173ea2b0e470988646c7c37"/>
    <w:p>
      <w:pPr>
        <w:pStyle w:val="Heading3"/>
      </w:pPr>
      <w:r>
        <w:t xml:space="preserve">Excise Duty (Amendment) Acts, 2023 (Acts 17/2023 and 24/2023)</w:t>
      </w:r>
    </w:p>
    <w:p>
      <w:pPr>
        <w:numPr>
          <w:ilvl w:val="0"/>
          <w:numId w:val="1019"/>
        </w:numPr>
      </w:pPr>
      <w:r>
        <w:t xml:space="preserve">Definitions added for fruit juice, un-denatured spirits, vegetable juice.</w:t>
      </w:r>
    </w:p>
    <w:p>
      <w:pPr>
        <w:numPr>
          <w:ilvl w:val="0"/>
          <w:numId w:val="1019"/>
        </w:numPr>
      </w:pPr>
      <w:r>
        <w:t xml:space="preserve">Equivalent treatment for Islamic financial business: ledger / ATM / transaction charges placed on the same 15% footing as conventional banking.</w:t>
      </w:r>
    </w:p>
    <w:p>
      <w:pPr>
        <w:numPr>
          <w:ilvl w:val="0"/>
          <w:numId w:val="1019"/>
        </w:numPr>
      </w:pPr>
      <w:r>
        <w:t xml:space="preserve">Schedule 2 varied for opaque beer, undenatured spirits, fruit / vegetable juice, certain construction materials, certain non-alcoholic beverages.</w:t>
      </w:r>
    </w:p>
    <w:bookmarkEnd w:id="130"/>
    <w:bookmarkStart w:id="131" w:name="Xb43209a83aeb1be855393a5625e052a2ec3d3d1"/>
    <w:p>
      <w:pPr>
        <w:pStyle w:val="Heading3"/>
      </w:pPr>
      <w:r>
        <w:t xml:space="preserve">Excise Duty (Amendment) Act, 2024 (effective 1 July 2024)</w:t>
      </w:r>
    </w:p>
    <w:p>
      <w:pPr>
        <w:numPr>
          <w:ilvl w:val="0"/>
          <w:numId w:val="1020"/>
        </w:numPr>
      </w:pPr>
      <w:r>
        <w:t xml:space="preserve">Petrol: 1,450 → 1,550/litre. Diesel: 1,130 → 1,230/litre.</w:t>
      </w:r>
    </w:p>
    <w:p>
      <w:pPr>
        <w:numPr>
          <w:ilvl w:val="0"/>
          <w:numId w:val="1020"/>
        </w:numPr>
      </w:pPr>
      <w:r>
        <w:t xml:space="preserve">Un-denatured spirits and “other wine” rates increased.</w:t>
      </w:r>
    </w:p>
    <w:p>
      <w:pPr>
        <w:numPr>
          <w:ilvl w:val="0"/>
          <w:numId w:val="1020"/>
        </w:numPr>
      </w:pPr>
      <w:r>
        <w:t xml:space="preserve">Opaque beer and other locally produced alcoholic beverages cut further: “any other locally produced alcoholic beverage” 20% or UGX 230 → 12% or UGX 150/litre.</w:t>
      </w:r>
    </w:p>
    <w:p>
      <w:pPr>
        <w:numPr>
          <w:ilvl w:val="0"/>
          <w:numId w:val="1020"/>
        </w:numPr>
      </w:pPr>
      <w:r>
        <w:t xml:space="preserve">New definitions: powder for reconstitution into beer.</w:t>
      </w:r>
    </w:p>
    <w:p>
      <w:pPr>
        <w:numPr>
          <w:ilvl w:val="0"/>
          <w:numId w:val="1020"/>
        </w:numPr>
      </w:pPr>
      <w:r>
        <w:t xml:space="preserve">New excisable items: powder for reconstitution into beer; payment services (cash withdrawal via agent banking, Chipper Cash, Wave) at 0.5% — equalising treatment with mobile money.</w:t>
      </w:r>
    </w:p>
    <w:p>
      <w:pPr>
        <w:numPr>
          <w:ilvl w:val="0"/>
          <w:numId w:val="1020"/>
        </w:numPr>
      </w:pPr>
      <w:r>
        <w:t xml:space="preserve">International calls from Burundi and Tanzania removed from the USD 0.09/min charge.</w:t>
      </w:r>
    </w:p>
    <w:p>
      <w:pPr>
        <w:numPr>
          <w:ilvl w:val="0"/>
          <w:numId w:val="1020"/>
        </w:numPr>
      </w:pPr>
      <w:r>
        <w:t xml:space="preserve">Construction materials for EV manufacturers and EV parts / accessories exempted.</w:t>
      </w:r>
    </w:p>
    <w:p>
      <w:pPr>
        <w:numPr>
          <w:ilvl w:val="0"/>
          <w:numId w:val="1020"/>
        </w:numPr>
      </w:pPr>
      <w:r>
        <w:t xml:space="preserve">Mineral water duty restructured to fixed-and-ad-valorem hybrid.</w:t>
      </w:r>
    </w:p>
    <w:bookmarkEnd w:id="131"/>
    <w:bookmarkStart w:id="132" w:name="Xa0bd16541c50af0784c4794f1264f535c5f4cdb"/>
    <w:p>
      <w:pPr>
        <w:pStyle w:val="Heading3"/>
      </w:pPr>
      <w:r>
        <w:t xml:space="preserve">Excise Duty (Amendment) Acts, 2025 — No. 1 and No. 2 (effective 1 July 2025)</w:t>
      </w:r>
    </w:p>
    <w:p>
      <w:pPr>
        <w:numPr>
          <w:ilvl w:val="0"/>
          <w:numId w:val="1021"/>
        </w:numPr>
      </w:pPr>
      <w:r>
        <w:t xml:space="preserve">Cigarettes (first significant change since FY 2017/18): locally manufactured soft cap 55,000 → 65,000; imported soft cap 75,000 → 150,000 (doubled); locally manufactured hinge lid 80,000 → 90,000; imported hinge lid 100,000 → 200,000 (doubled).</w:t>
      </w:r>
    </w:p>
    <w:p>
      <w:pPr>
        <w:numPr>
          <w:ilvl w:val="0"/>
          <w:numId w:val="1021"/>
        </w:numPr>
      </w:pPr>
      <w:r>
        <w:t xml:space="preserve">Beer from local raw material (≥75%): UGX 650 → 900/litre (rate 30% retained).</w:t>
      </w:r>
    </w:p>
    <w:p>
      <w:pPr>
        <w:numPr>
          <w:ilvl w:val="0"/>
          <w:numId w:val="1021"/>
        </w:numPr>
      </w:pPr>
      <w:r>
        <w:t xml:space="preserve">New Section 13A: framework for remission of excise duty on damaged, expired or obsolete goods.</w:t>
      </w:r>
    </w:p>
    <w:p>
      <w:pPr>
        <w:numPr>
          <w:ilvl w:val="0"/>
          <w:numId w:val="1021"/>
        </w:numPr>
      </w:pPr>
      <w:r>
        <w:t xml:space="preserve">Originally proposed petrol increase to UGX 1,650 and diesel to UGX 1,380 was rescinded by the Minister of Finance before passage; fuel rates remained at 1,550 / 1,230.</w:t>
      </w:r>
    </w:p>
    <w:p>
      <w:pPr>
        <w:numPr>
          <w:ilvl w:val="0"/>
          <w:numId w:val="1021"/>
        </w:numPr>
      </w:pPr>
      <w:r>
        <w:t xml:space="preserve">Other revisions to fruit juice, motor fuel categories and plastic products in line with the Bill’s revenue-and-base-broadening logic.</w:t>
      </w:r>
    </w:p>
    <w:bookmarkEnd w:id="132"/>
    <w:bookmarkStart w:id="133" w:name="pending-excise-duty-amendment-bill-2026"/>
    <w:p>
      <w:pPr>
        <w:pStyle w:val="Heading3"/>
      </w:pPr>
      <w:r>
        <w:t xml:space="preserve">Pending: Excise Duty (Amendment) Bill, 2026</w:t>
      </w:r>
    </w:p>
    <w:p>
      <w:pPr>
        <w:pStyle w:val="FirstParagraph"/>
      </w:pPr>
      <w:r>
        <w:t xml:space="preserve">The Bill was passed by Parliament in late April 2026 but, as of the cut-off date of this paper, had not received presidential assent and is therefore not in force. Notable proposed changes (intended effective date 1 July 2026): petrol +UGX 200/litre (1,550 → 1,750), diesel to roughly 1,430, sugar 100 → 300/kg, cement to 750/50kg (down from a proposed 1,000), imported spirits to UGX 3,500/litre or 80%, motorcycles first registration 200,000 → 500,000, plastics from 2.5% / USD 70 per tonne to 25% / USD 1,500 per tonne with the base widened to disposable cups, straws, bottles and stirrers, a new excise on cooking fat at UGX 500/litre or kg.</w:t>
      </w:r>
    </w:p>
    <w:bookmarkEnd w:id="133"/>
    <w:bookmarkEnd w:id="134"/>
    <w:bookmarkStart w:id="142" w:name="b.2-sierra-leone"/>
    <w:p>
      <w:pPr>
        <w:pStyle w:val="Heading2"/>
      </w:pPr>
      <w:r>
        <w:t xml:space="preserve">B.2 Sierra Leone</w:t>
      </w:r>
    </w:p>
    <w:bookmarkStart w:id="135" w:name="X3b20c31312010302f2fe59c1f4758beeb9ee46d"/>
    <w:p>
      <w:pPr>
        <w:pStyle w:val="Heading3"/>
      </w:pPr>
      <w:r>
        <w:t xml:space="preserve">Starting position: at 1 January 2020 (post-FA2020)</w:t>
      </w:r>
    </w:p>
    <w:p>
      <w:pPr>
        <w:pStyle w:val="FirstParagraph"/>
      </w:pPr>
      <w:r>
        <w:t xml:space="preserve">Tobacco: 30% ad valorem on the wholesale price of cigarettes (introduced through the FA2018 reform) plus elevated import duties on all tobacco products. Alcohol: specific excise of USD 1.5/litre on alcoholic beverages of up to 10% ABV, USD 2/litre above 10% ABV — applied uniformly to imports and most domestic production. Soft drinks: energy drinks at 20%; excise also on bottled and processed water. Fuel: specific excise on petrol, diesel, kerosene, fuel oil and lubricating oils under tariff item 27.10 (rates inherited from earlier Finance Acts). FA2020 itself: added a single new line — imported fruit and vegetable juice at 20%. Telecommunications and financial services: not subject to excise duty under the 1982 Act. Telecom services within the GST net at 15%; financial services GST-exempt.</w:t>
      </w:r>
    </w:p>
    <w:bookmarkEnd w:id="135"/>
    <w:bookmarkStart w:id="136" w:name="X830105bb5704cae2885242da710ee8b01008c3c"/>
    <w:p>
      <w:pPr>
        <w:pStyle w:val="Heading3"/>
      </w:pPr>
      <w:r>
        <w:t xml:space="preserve">Finance Act, 2021 (effective 1 January 2021)</w:t>
      </w:r>
    </w:p>
    <w:p>
      <w:pPr>
        <w:numPr>
          <w:ilvl w:val="0"/>
          <w:numId w:val="1022"/>
        </w:numPr>
      </w:pPr>
      <w:r>
        <w:t xml:space="preserve">First major re-engineering of the alcohol regime. Tariff item 22.09 repealed and replaced with a four-band local-content beer regime: D1 (&gt;80% local) 5%; D2 (&gt;70%, &lt;80%) 8%; D3 (&gt;60%, &lt;70%) 12%; D4 (&gt;50%, &lt;60%) 15%.</w:t>
      </w:r>
    </w:p>
    <w:p>
      <w:pPr>
        <w:numPr>
          <w:ilvl w:val="0"/>
          <w:numId w:val="1022"/>
        </w:numPr>
      </w:pPr>
      <w:r>
        <w:t xml:space="preserve">Eligible local raw materials defined as sorghum, cassava, maize, sugar and barley.</w:t>
      </w:r>
    </w:p>
    <w:p>
      <w:pPr>
        <w:numPr>
          <w:ilvl w:val="0"/>
          <w:numId w:val="1022"/>
        </w:numPr>
      </w:pPr>
      <w:r>
        <w:t xml:space="preserve">Vegetable oils, palm olein and margarine added at 10% (heading 15.11).</w:t>
      </w:r>
    </w:p>
    <w:p>
      <w:pPr>
        <w:numPr>
          <w:ilvl w:val="0"/>
          <w:numId w:val="1022"/>
        </w:numPr>
      </w:pPr>
      <w:r>
        <w:t xml:space="preserve">Soaps at 20% (heading 34.01).</w:t>
      </w:r>
    </w:p>
    <w:p>
      <w:pPr>
        <w:numPr>
          <w:ilvl w:val="0"/>
          <w:numId w:val="1022"/>
        </w:numPr>
      </w:pPr>
      <w:r>
        <w:t xml:space="preserve">Industrial fatty-acid oils at 20% (heading 38.23).</w:t>
      </w:r>
    </w:p>
    <w:p>
      <w:pPr>
        <w:numPr>
          <w:ilvl w:val="0"/>
          <w:numId w:val="1022"/>
        </w:numPr>
      </w:pPr>
      <w:r>
        <w:t xml:space="preserve">Nails at 5% (heading 73.17).</w:t>
      </w:r>
    </w:p>
    <w:bookmarkEnd w:id="136"/>
    <w:bookmarkStart w:id="137" w:name="Xae72aed87ffe7103e33783a4acea2e0dad3acd3"/>
    <w:p>
      <w:pPr>
        <w:pStyle w:val="Heading3"/>
      </w:pPr>
      <w:r>
        <w:t xml:space="preserve">Finance Act, 2022 (effective 1 January 2022)</w:t>
      </w:r>
    </w:p>
    <w:p>
      <w:pPr>
        <w:pStyle w:val="FirstParagraph"/>
      </w:pPr>
      <w:r>
        <w:t xml:space="preserve">No Schedule-level excise changes. The Act focused on income tax (cut petroleum operations from 30% to 25%), taxpayer segmentation, and digital-marketplace definitions in GST. Excise rates from FA2021 carried forward.</w:t>
      </w:r>
    </w:p>
    <w:bookmarkEnd w:id="137"/>
    <w:bookmarkStart w:id="138" w:name="finance-act-2023"/>
    <w:p>
      <w:pPr>
        <w:pStyle w:val="Heading3"/>
      </w:pPr>
      <w:r>
        <w:t xml:space="preserve">Finance Act, 2023</w:t>
      </w:r>
    </w:p>
    <w:p>
      <w:pPr>
        <w:pStyle w:val="FirstParagraph"/>
      </w:pPr>
      <w:r>
        <w:t xml:space="preserve">Imposed a new set of regulatory levies on telecommunications operators (sometimes labelled “excise” colloquially but legally a separate levy under the Finance Act, not under the Excise Act): on-net mobile voice calls Le 0.1/minute; off-net Le 0.05/minute; outgoing international calls Le 0.2/minute; mobile money commissions 2%; mobile data up to 5% of recharge / bundle value.</w:t>
      </w:r>
    </w:p>
    <w:bookmarkEnd w:id="138"/>
    <w:bookmarkStart w:id="139" w:name="Xc1cae646bcb3433cf9f977fdcc76ddd7f349614"/>
    <w:p>
      <w:pPr>
        <w:pStyle w:val="Heading3"/>
      </w:pPr>
      <w:r>
        <w:t xml:space="preserve">Finance Act, 2024 (effective 1 January 2024)</w:t>
      </w:r>
    </w:p>
    <w:p>
      <w:pPr>
        <w:pStyle w:val="FirstParagraph"/>
      </w:pPr>
      <w:r>
        <w:t xml:space="preserve">The most substantial single-Act re-write of the schedule in the period.</w:t>
      </w:r>
    </w:p>
    <w:p>
      <w:pPr>
        <w:numPr>
          <w:ilvl w:val="0"/>
          <w:numId w:val="1023"/>
        </w:numPr>
      </w:pPr>
      <w:r>
        <w:t xml:space="preserve">Imported cement to 20%. Iron rod 10%. Cooking gas 5%. Rice graduated from 0 to 5% then 10% from 2025.</w:t>
      </w:r>
    </w:p>
    <w:p>
      <w:pPr>
        <w:numPr>
          <w:ilvl w:val="0"/>
          <w:numId w:val="1023"/>
        </w:numPr>
      </w:pPr>
      <w:r>
        <w:t xml:space="preserve">Beer (heading 22.03) restructured: malt beer, stout, porter, non-alcoholic beer (≤5%) and “other” all at Le 0.01/cl or Le 10/litre local; Le 0.015/cl or Le 15/litre import.</w:t>
      </w:r>
    </w:p>
    <w:p>
      <w:pPr>
        <w:numPr>
          <w:ilvl w:val="0"/>
          <w:numId w:val="1023"/>
        </w:numPr>
      </w:pPr>
      <w:r>
        <w:t xml:space="preserve">Wine (headings 22.04, 22.05) rebanded by ABV: Le 4.20/litre (≤10%), Le 6.30 (&gt;10–20%), Le 8.30 (&gt;20–30%), Le 10.40 (&gt;30–40%), Le 15.0 (&gt;40%) for local; Le 10/12/14/16/22/litre for imports along the same bands.</w:t>
      </w:r>
    </w:p>
    <w:p>
      <w:pPr>
        <w:numPr>
          <w:ilvl w:val="0"/>
          <w:numId w:val="1023"/>
        </w:numPr>
      </w:pPr>
      <w:r>
        <w:t xml:space="preserve">Cigarettes restructured under tariff items 24.01–24.03 (specific tobacco rates per kg and per packet).</w:t>
      </w:r>
    </w:p>
    <w:p>
      <w:pPr>
        <w:numPr>
          <w:ilvl w:val="0"/>
          <w:numId w:val="1023"/>
        </w:numPr>
      </w:pPr>
      <w:r>
        <w:t xml:space="preserve">Electronic cigarettes and cartridges introduced at item 24.04: Le 0.2/ml device, Le 0.4/unit cartridge.</w:t>
      </w:r>
    </w:p>
    <w:p>
      <w:pPr>
        <w:numPr>
          <w:ilvl w:val="0"/>
          <w:numId w:val="1023"/>
        </w:numPr>
      </w:pPr>
      <w:r>
        <w:t xml:space="preserve">Fuel rates set at Le 0.81/litre kerosene, Le 2.80/litre petrol, Le 1.22/litre diesel rising on a published quarterly schedule to Le 2.40/litre by 1 October 2024, Le 4.14/litre fuel oil, Le 2.20/litre lubricating oils.</w:t>
      </w:r>
    </w:p>
    <w:p>
      <w:pPr>
        <w:numPr>
          <w:ilvl w:val="0"/>
          <w:numId w:val="1023"/>
        </w:numPr>
      </w:pPr>
      <w:r>
        <w:t xml:space="preserve">Plastics: polyethylene bags and plastic bottles (with beverage, excluding water) at Le 16/kg.</w:t>
      </w:r>
    </w:p>
    <w:p>
      <w:pPr>
        <w:numPr>
          <w:ilvl w:val="0"/>
          <w:numId w:val="1023"/>
        </w:numPr>
      </w:pPr>
      <w:r>
        <w:t xml:space="preserve">New excise on gambling, betting and lottery services at 10% of net wagered (gross gambling revenue less winnings) — inserted at item 98.01.</w:t>
      </w:r>
    </w:p>
    <w:bookmarkEnd w:id="139"/>
    <w:bookmarkStart w:id="140" w:name="Xbf801d42a354f5f8887d9dccea0a7ee5cc1e9a6"/>
    <w:p>
      <w:pPr>
        <w:pStyle w:val="Heading3"/>
      </w:pPr>
      <w:r>
        <w:t xml:space="preserve">Finance Act, 2025 (effective 1 January 2025)</w:t>
      </w:r>
    </w:p>
    <w:p>
      <w:pPr>
        <w:pStyle w:val="FirstParagraph"/>
      </w:pPr>
      <w:r>
        <w:t xml:space="preserve">First Finance Act in fully redenominated New Leone units. Two structural additions: section 5 (21-day excise payment rule) and section 48A (filing of excise returns with graduated penalties for large / medium / small taxpayers).</w:t>
      </w:r>
    </w:p>
    <w:p>
      <w:pPr>
        <w:numPr>
          <w:ilvl w:val="0"/>
          <w:numId w:val="1024"/>
        </w:numPr>
      </w:pPr>
      <w:r>
        <w:t xml:space="preserve">Beer regime (item 22.09) re-tiered: D1 (&gt;80% local) at 5/8/12% across &lt;10, 10–20, ≥20 ABV; D2 (&gt;70–80%) at 8/12/15%; D3 (&gt;60–70%) at 12/15/17.5%; D4 (&gt;30–60%) at 15/17.5/20%. The local-content threshold for D4 widened from 50–60% to 30–60%, bringing more producers into the higher band.</w:t>
      </w:r>
    </w:p>
    <w:p>
      <w:pPr>
        <w:numPr>
          <w:ilvl w:val="0"/>
          <w:numId w:val="1024"/>
        </w:numPr>
      </w:pPr>
      <w:r>
        <w:t xml:space="preserve">Tobacco (24.01–24.04) restated in NLe: unmanufactured tobacco NLe 65/kg; cigars and cigarillos NLe 25/packet; cigarettes NLe 2/packet of 20 sticks; other manufactured tobacco NLe 65/kg; shisha and herbal molasses NLe 65/kg + NLe 175/litre; e-cigarette device NLe 0.5/ml; cartridge NLe 0.8/unit.</w:t>
      </w:r>
    </w:p>
    <w:bookmarkEnd w:id="140"/>
    <w:bookmarkStart w:id="141" w:name="X0162fa4d9f6fbc021b16b079a07e4b7e78129fb"/>
    <w:p>
      <w:pPr>
        <w:pStyle w:val="Heading3"/>
      </w:pPr>
      <w:r>
        <w:t xml:space="preserve">Finance Act, 2026 (effective 1 January 2026)</w:t>
      </w:r>
    </w:p>
    <w:p>
      <w:pPr>
        <w:pStyle w:val="FirstParagraph"/>
      </w:pPr>
      <w:r>
        <w:t xml:space="preserve">The latest enacted Finance Act. Tobacco and fuel re-tariffed upward, and cement re-stated.</w:t>
      </w:r>
    </w:p>
    <w:p>
      <w:pPr>
        <w:numPr>
          <w:ilvl w:val="0"/>
          <w:numId w:val="1025"/>
        </w:numPr>
      </w:pPr>
      <w:r>
        <w:t xml:space="preserve">Cigarettes: rate raised to NLe 3/packet of 20 sticks (50% up from FA2025’s NLe 2).</w:t>
      </w:r>
    </w:p>
    <w:p>
      <w:pPr>
        <w:numPr>
          <w:ilvl w:val="0"/>
          <w:numId w:val="1025"/>
        </w:numPr>
      </w:pPr>
      <w:r>
        <w:t xml:space="preserve">Cigars / cigarillos: NLe 38/packet (up from NLe 25, ~52%).</w:t>
      </w:r>
    </w:p>
    <w:p>
      <w:pPr>
        <w:numPr>
          <w:ilvl w:val="0"/>
          <w:numId w:val="1025"/>
        </w:numPr>
      </w:pPr>
      <w:r>
        <w:t xml:space="preserve">Unmanufactured tobacco / other manufactured tobacco: NLe 98/kg (up from NLe 65, ~51%).</w:t>
      </w:r>
    </w:p>
    <w:p>
      <w:pPr>
        <w:numPr>
          <w:ilvl w:val="0"/>
          <w:numId w:val="1025"/>
        </w:numPr>
      </w:pPr>
      <w:r>
        <w:t xml:space="preserve">Shisha / hookah / vaping alternatives: NLe 98/kg + NLe 225/litre.</w:t>
      </w:r>
    </w:p>
    <w:p>
      <w:pPr>
        <w:numPr>
          <w:ilvl w:val="0"/>
          <w:numId w:val="1025"/>
        </w:numPr>
      </w:pPr>
      <w:r>
        <w:t xml:space="preserve">E-cigarettes: NLe 0.75/ml device; NLe 1.20/unit cartridge (50% each).</w:t>
      </w:r>
    </w:p>
    <w:p>
      <w:pPr>
        <w:numPr>
          <w:ilvl w:val="0"/>
          <w:numId w:val="1025"/>
        </w:numPr>
      </w:pPr>
      <w:r>
        <w:t xml:space="preserve">Cement (item 25.23): Portland, slag, super-sulphate and other hydraulic cement at NLe 10/50 kg bag.</w:t>
      </w:r>
    </w:p>
    <w:p>
      <w:pPr>
        <w:numPr>
          <w:ilvl w:val="0"/>
          <w:numId w:val="1025"/>
        </w:numPr>
      </w:pPr>
      <w:r>
        <w:t xml:space="preserve">Fuel (item 27.10) restated in NLe: kerosene NLe 2/litre; petrol NLe 5/litre; diesel NLe 5/litre; fuel oil NLe 7.40/litre; lubricating oils NLe 4/litre.</w:t>
      </w:r>
    </w:p>
    <w:p>
      <w:pPr>
        <w:numPr>
          <w:ilvl w:val="0"/>
          <w:numId w:val="1025"/>
        </w:numPr>
      </w:pPr>
      <w:r>
        <w:t xml:space="preserve">New annual circulation levy on vehicles (NLe 500 for ordinary cars / trucks / buses; USD 1,000 / 500 for large vessels and water taxis depending on capacity; NLe 200 for motorbikes), payable at importation, registration or licensing — structurally outside the Excise Act but fiscally adjacent.</w:t>
      </w:r>
    </w:p>
    <w:p>
      <w:pPr>
        <w:pStyle w:val="FirstParagraph"/>
      </w:pPr>
      <w:r>
        <w:t xml:space="preserve">Read together, the two recent-changes histories show three common patterns. Both countries used the 2020 amendment cycle for selective COVID-related concessions and modest fuel-rate rises. Both used the 2021 amendment cycle to re-engineer the alcohol regime around local-content discounts. Both used the 2024 amendment cycle to broaden the base — Sierra Leone introducing e-cigarettes, gambling and plastic bottles; Uganda introducing payment services and powder-for-reconstitution-into-beer. Both have used the 2025 and 2026 cycles primarily for inflation catch-up — the cigarette-rate increases in both countries, the fuel restatements in Sierra Leone, the proposed fuel and motorcycle increases in Uganda’s pending 2026 Bill.</w:t>
      </w:r>
    </w:p>
    <w:bookmarkEnd w:id="141"/>
    <w:bookmarkEnd w:id="142"/>
    <w:bookmarkEnd w:id="143"/>
    <w:bookmarkStart w:id="144" w:name="appendix-c.-references"/>
    <w:p>
      <w:pPr>
        <w:pStyle w:val="Heading1"/>
      </w:pPr>
      <w:r>
        <w:t xml:space="preserve">Appendix C. References</w:t>
      </w:r>
    </w:p>
    <w:p>
      <w:pPr>
        <w:pStyle w:val="FirstParagraph"/>
      </w:pPr>
      <w:r>
        <w:t xml:space="preserve">Adam C., Bachas P., Phillips D. and others. Green motor taxation: issues and policy options in sub-Saharan Africa. Institute for Fiscal Studies, 2024.</w:t>
      </w:r>
    </w:p>
    <w:p>
      <w:pPr>
        <w:pStyle w:val="BodyText"/>
      </w:pPr>
      <w:r>
        <w:t xml:space="preserve">Anton-Sarabia A. and Hernandez-Trillo F. Optimal gasoline tax in developing, oil-producing countries: the case of Mexico. Energy Policy, 2014.</w:t>
      </w:r>
    </w:p>
    <w:p>
      <w:pPr>
        <w:pStyle w:val="BodyText"/>
      </w:pPr>
      <w:r>
        <w:t xml:space="preserve">Bijgaart I., Klenert D., Mattauch L. and Sulikova S. Healthy climate, healthy bodies: optimal fuel taxation and physical activity. Economica, 2024.</w:t>
      </w:r>
    </w:p>
    <w:p>
      <w:pPr>
        <w:pStyle w:val="BodyText"/>
      </w:pPr>
      <w:r>
        <w:t xml:space="preserve">Black S., Parry I., Mylonas V., Vernon N. and Zhunussova K. The IMF-World Bank Carbon Pricing Assessment Tool: a model to help countries mitigate climate change. IMF Working Paper, 2023.</w:t>
      </w:r>
    </w:p>
    <w:p>
      <w:pPr>
        <w:pStyle w:val="BodyText"/>
      </w:pPr>
      <w:r>
        <w:t xml:space="preserve">CE Delft. Handbook on the External Costs of Transport, version 2019. European Commission DG MOVE, 2019.</w:t>
      </w:r>
    </w:p>
    <w:p>
      <w:pPr>
        <w:pStyle w:val="BodyText"/>
      </w:pPr>
      <w:r>
        <w:t xml:space="preserve">De Rus G. Methodology for the cost-benefit analysis of transport projects and policies. Documento de Trabajo, 2020.</w:t>
      </w:r>
    </w:p>
    <w:p>
      <w:pPr>
        <w:pStyle w:val="BodyText"/>
      </w:pPr>
      <w:r>
        <w:t xml:space="preserve">Heine D. and others. Deriving optimal taxes for gasoline, diesel and ethanol for Brazil. Environment and Development Economics, 2025.</w:t>
      </w:r>
    </w:p>
    <w:p>
      <w:pPr>
        <w:pStyle w:val="BodyText"/>
      </w:pPr>
      <w:r>
        <w:t xml:space="preserve">HM Treasury. The Green Book: central government guidance on appraisal and evaluation. London, latest edition.</w:t>
      </w:r>
    </w:p>
    <w:p>
      <w:pPr>
        <w:pStyle w:val="BodyText"/>
      </w:pPr>
      <w:r>
        <w:t xml:space="preserve">Kopits E. and Cropper M. Why have traffic fatalities declined in industrialised countries? Implications for pedestrians and vehicle occupants. Journal of Transport Economics and Policy, 2008.</w:t>
      </w:r>
    </w:p>
    <w:p>
      <w:pPr>
        <w:pStyle w:val="BodyText"/>
      </w:pPr>
      <w:r>
        <w:t xml:space="preserve">OECD. Mortality risk valuation in environment, health and transport policies. Paris, 2012; updated values in subsequent OECD work.</w:t>
      </w:r>
    </w:p>
    <w:p>
      <w:pPr>
        <w:pStyle w:val="BodyText"/>
      </w:pPr>
      <w:r>
        <w:t xml:space="preserve">Parry I., Heine D., Li S. and Lis E. Getting energy prices right: from principle to practice. International Monetary Fund, 2014.</w:t>
      </w:r>
    </w:p>
    <w:p>
      <w:pPr>
        <w:pStyle w:val="BodyText"/>
      </w:pPr>
      <w:r>
        <w:t xml:space="preserve">Parry I. and Small K. Does Britain or the United States have the right gasoline tax? American Economic Review, 2005.</w:t>
      </w:r>
    </w:p>
    <w:p>
      <w:pPr>
        <w:pStyle w:val="BodyText"/>
      </w:pPr>
      <w:r>
        <w:t xml:space="preserve">Parry I. and Strand J. International fuel tax assessment: an application to Chile. Environment and Development Economics, 2012.</w:t>
      </w:r>
    </w:p>
    <w:p>
      <w:pPr>
        <w:pStyle w:val="BodyText"/>
      </w:pPr>
      <w:r>
        <w:t xml:space="preserve">Sterner T. Fuel taxes and the poor: the distributional effects of gasoline taxation and their implications for climate policy. RFF Press, 2012.</w:t>
      </w:r>
    </w:p>
    <w:p>
      <w:pPr>
        <w:pStyle w:val="BodyText"/>
      </w:pPr>
      <w:r>
        <w:t xml:space="preserve">World Bank. Climate Policy Assessment Tool documentation, 2024.</w:t>
      </w:r>
    </w:p>
    <w:p>
      <w:pPr>
        <w:pStyle w:val="BodyText"/>
      </w:pPr>
      <w:r>
        <w:t xml:space="preserve">World Bank. Climate and Health Program: roadmap for climate-health finance and action, 2023.</w:t>
      </w:r>
    </w:p>
    <w:p>
      <w:pPr>
        <w:pStyle w:val="BodyText"/>
      </w:pPr>
      <w:r>
        <w:t xml:space="preserve">World Bank. Vehicle and fuel taxation for transport demand management. Policy Research Working Paper 10647, 2023.</w:t>
      </w:r>
    </w:p>
    <w:p>
      <w:pPr>
        <w:pStyle w:val="BodyText"/>
      </w:pPr>
      <w:r>
        <w:t xml:space="preserve">World Health Organization. Global status report on road safety. Geneva, latest edition.</w:t>
      </w:r>
    </w:p>
    <w:bookmarkEnd w:id="144"/>
    <w:bookmarkStart w:id="145" w:name="Xe321c7ae70a858a85e35db33892b13166cf6a75"/>
    <w:p>
      <w:pPr>
        <w:pStyle w:val="Heading1"/>
      </w:pPr>
      <w:r>
        <w:t xml:space="preserve">Appendix D. Climate–health tax questions and capacities</w:t>
      </w:r>
    </w:p>
    <w:p>
      <w:pPr>
        <w:pStyle w:val="FirstParagraph"/>
      </w:pPr>
      <w:r>
        <w:t xml:space="preserve">This appendix reproduces, close to its original form, the inventory of climate and health analytical capacities that motivates the joint offering. It is the narrative companion to the master table of key questions in the executive summary: where that table gives the compact question-by-question view (spec origin, data requirements, version and section), this appendix records in full what the climate program and the health program each already do, or hold data to do, behind each question. The left columns describe those capacities; the right columns give the key-question number and the section where the diagnostic addresses it (the master table carries the page references). Items marked “—” are scoping or tooling points rather than analytical questions.</w:t>
      </w:r>
    </w:p>
    <w:tbl>
      <w:tblPr>
        <w:tblStyle w:val="Table"/>
        <w:tblW w:type="pct" w:w="4984"/>
        <w:tblLayout w:type="fixed"/>
        <w:tblLook w:firstRow="1" w:lastRow="0" w:firstColumn="0" w:lastColumn="0" w:noHBand="0" w:noVBand="0" w:val="0020"/>
      </w:tblPr>
      <w:tblGrid>
        <w:gridCol w:w="486"/>
        <w:gridCol w:w="6348"/>
        <w:gridCol w:w="261"/>
        <w:gridCol w:w="798"/>
      </w:tblGrid>
      <w:tr>
        <w:trPr>
          <w:tblHeader w:val="on"/>
        </w:trPr>
        <w:tc>
          <w:tcPr/>
          <w:p>
            <w:pPr>
              <w:pStyle w:val="Compact"/>
            </w:pPr>
            <w:r>
              <w:rPr>
                <w:b/>
                <w:bCs/>
              </w:rPr>
              <w:t xml:space="preserve">Theme</w:t>
            </w:r>
          </w:p>
        </w:tc>
        <w:tc>
          <w:tcPr/>
          <w:p>
            <w:pPr>
              <w:pStyle w:val="Compact"/>
            </w:pPr>
            <w:r>
              <w:rPr>
                <w:b/>
                <w:bCs/>
              </w:rPr>
              <w:t xml:space="preserve">Capacity (climate / health programs)</w:t>
            </w:r>
          </w:p>
        </w:tc>
        <w:tc>
          <w:tcPr/>
          <w:p>
            <w:pPr>
              <w:pStyle w:val="Compact"/>
            </w:pPr>
            <w:r>
              <w:rPr>
                <w:b/>
                <w:bCs/>
              </w:rPr>
              <w:t xml:space="preserve">Q</w:t>
            </w:r>
          </w:p>
        </w:tc>
        <w:tc>
          <w:tcPr/>
          <w:p>
            <w:pPr>
              <w:pStyle w:val="Compact"/>
            </w:pPr>
            <w:r>
              <w:rPr>
                <w:b/>
                <w:bCs/>
              </w:rPr>
              <w:t xml:space="preserve">Where addressed (section)</w:t>
            </w:r>
          </w:p>
        </w:tc>
      </w:tr>
      <w:tr>
        <w:tc>
          <w:tcPr>
            <w:gridSpan w:val="4"/>
          </w:tcPr>
          <w:p>
            <w:pPr>
              <w:pStyle w:val="Compact"/>
            </w:pPr>
            <w:r>
              <w:rPr>
                <w:b/>
                <w:bCs/>
              </w:rPr>
              <w:t xml:space="preserve">Benchmarking</w:t>
            </w:r>
          </w:p>
        </w:tc>
      </w:tr>
      <w:tr>
        <w:tc>
          <w:tcPr/>
          <w:p>
            <w:pPr>
              <w:pStyle w:val="Compact"/>
            </w:pPr>
            <w:r>
              <w:rPr>
                <w:b/>
                <w:bCs/>
              </w:rPr>
              <w:t xml:space="preserve">Current consumption levels</w:t>
            </w:r>
          </w:p>
        </w:tc>
        <w:tc>
          <w:tcPr/>
          <w:p>
            <w:pPr>
              <w:pStyle w:val="Compact"/>
            </w:pPr>
            <w:r>
              <w:t xml:space="preserve">The climate program benchmarks how fuel consumption has evolved in aggregate (Kaya identity) and how it is currently split among households. The health program benchmarks how consumption of health-related products has evolved over time. Both identify composition by fuel/alcohol subcategory.</w:t>
            </w:r>
          </w:p>
        </w:tc>
        <w:tc>
          <w:tcPr/>
          <w:p>
            <w:pPr>
              <w:pStyle w:val="Compact"/>
            </w:pPr>
            <w:r>
              <w:rPr>
                <w:b/>
                <w:bCs/>
              </w:rPr>
              <w:t xml:space="preserve">Q12</w:t>
            </w:r>
          </w:p>
        </w:tc>
        <w:tc>
          <w:tcPr/>
          <w:p>
            <w:pPr>
              <w:pStyle w:val="Compact"/>
            </w:pPr>
            <w:r>
              <w:t xml:space="preserve">Part B, B8 — Benchmarking</w:t>
            </w:r>
          </w:p>
        </w:tc>
      </w:tr>
      <w:tr>
        <w:tc>
          <w:tcPr/>
          <w:p>
            <w:pPr>
              <w:pStyle w:val="Compact"/>
            </w:pPr>
            <w:r>
              <w:rPr>
                <w:b/>
                <w:bCs/>
              </w:rPr>
              <w:t xml:space="preserve">Current tax levels</w:t>
            </w:r>
          </w:p>
        </w:tc>
        <w:tc>
          <w:tcPr/>
          <w:p>
            <w:pPr>
              <w:pStyle w:val="Compact"/>
            </w:pPr>
            <w:r>
              <w:t xml:space="preserve">The climate program calculates the Total Carbon Price for all countries, expressing how a country taxes carbon across fuel products; the health program calculates how tobacco, SSBs and alcohol are taxed. Could a joint assessment benchmark how all countries tax goods with externalities?</w:t>
            </w:r>
          </w:p>
        </w:tc>
        <w:tc>
          <w:tcPr/>
          <w:p>
            <w:pPr>
              <w:pStyle w:val="Compact"/>
            </w:pPr>
            <w:r>
              <w:rPr>
                <w:b/>
                <w:bCs/>
              </w:rPr>
              <w:t xml:space="preserve">Q8</w:t>
            </w:r>
          </w:p>
        </w:tc>
        <w:tc>
          <w:tcPr/>
          <w:p>
            <w:pPr>
              <w:pStyle w:val="Compact"/>
            </w:pPr>
            <w:r>
              <w:t xml:space="preserve">Part B, B8 — Benchmarking</w:t>
            </w:r>
          </w:p>
        </w:tc>
      </w:tr>
      <w:tr>
        <w:tc>
          <w:tcPr/>
          <w:p>
            <w:pPr>
              <w:pStyle w:val="Compact"/>
            </w:pPr>
            <w:r>
              <w:rPr>
                <w:b/>
                <w:bCs/>
              </w:rPr>
              <w:t xml:space="preserve">Current tax levels</w:t>
            </w:r>
          </w:p>
        </w:tc>
        <w:tc>
          <w:tcPr/>
          <w:p>
            <w:pPr>
              <w:pStyle w:val="Compact"/>
            </w:pPr>
            <w:r>
              <w:t xml:space="preserve">Just as countries tax different fuels differently, they tax different alcoholic beverages differently. The TCP analysis (fuel taxes per unit of carbon content) has an equivalent in alcohol excises expressed per unit of alcohol content.</w:t>
            </w:r>
          </w:p>
        </w:tc>
        <w:tc>
          <w:tcPr/>
          <w:p>
            <w:pPr>
              <w:pStyle w:val="Compact"/>
            </w:pPr>
            <w:r>
              <w:rPr>
                <w:b/>
                <w:bCs/>
              </w:rPr>
              <w:t xml:space="preserve">Q9</w:t>
            </w:r>
          </w:p>
        </w:tc>
        <w:tc>
          <w:tcPr/>
          <w:p>
            <w:pPr>
              <w:pStyle w:val="Compact"/>
            </w:pPr>
            <w:r>
              <w:t xml:space="preserve">Part B, B8 — Benchmarking; Part A, Q3 ($/unit)</w:t>
            </w:r>
          </w:p>
        </w:tc>
      </w:tr>
      <w:tr>
        <w:tc>
          <w:tcPr/>
          <w:p>
            <w:pPr>
              <w:pStyle w:val="Compact"/>
            </w:pPr>
            <w:r>
              <w:rPr>
                <w:b/>
                <w:bCs/>
              </w:rPr>
              <w:t xml:space="preserve">Current tax levels</w:t>
            </w:r>
          </w:p>
        </w:tc>
        <w:tc>
          <w:tcPr/>
          <w:p>
            <w:pPr>
              <w:pStyle w:val="Compact"/>
            </w:pPr>
            <w:r>
              <w:t xml:space="preserve">The health program calculates the share of the price of health-related products that comes from excise. The climate program does not do this for fuels but holds the data.</w:t>
            </w:r>
          </w:p>
        </w:tc>
        <w:tc>
          <w:tcPr/>
          <w:p>
            <w:pPr>
              <w:pStyle w:val="Compact"/>
            </w:pPr>
            <w:r>
              <w:rPr>
                <w:b/>
                <w:bCs/>
              </w:rPr>
              <w:t xml:space="preserve">Q10</w:t>
            </w:r>
          </w:p>
        </w:tc>
        <w:tc>
          <w:tcPr/>
          <w:p>
            <w:pPr>
              <w:pStyle w:val="Compact"/>
            </w:pPr>
            <w:r>
              <w:t xml:space="preserve">Part B, B8 — Benchmarking; Part A, Q3</w:t>
            </w:r>
          </w:p>
        </w:tc>
      </w:tr>
      <w:tr>
        <w:tc>
          <w:tcPr/>
          <w:p>
            <w:pPr>
              <w:pStyle w:val="Compact"/>
            </w:pPr>
            <w:r>
              <w:rPr>
                <w:b/>
                <w:bCs/>
              </w:rPr>
              <w:t xml:space="preserve">Tax gaps</w:t>
            </w:r>
          </w:p>
        </w:tc>
        <w:tc>
          <w:tcPr/>
          <w:p>
            <w:pPr>
              <w:pStyle w:val="Compact"/>
            </w:pPr>
            <w:r>
              <w:t xml:space="preserve">The climate program compares fuel excises with the social costs of fuels. The health program cites total costs from tobacco use — does it compare current excises with the social costs of health-related products?</w:t>
            </w:r>
          </w:p>
        </w:tc>
        <w:tc>
          <w:tcPr/>
          <w:p>
            <w:pPr>
              <w:pStyle w:val="Compact"/>
            </w:pPr>
            <w:r>
              <w:rPr>
                <w:b/>
                <w:bCs/>
              </w:rPr>
              <w:t xml:space="preserve">Q11</w:t>
            </w:r>
          </w:p>
        </w:tc>
        <w:tc>
          <w:tcPr/>
          <w:p>
            <w:pPr>
              <w:pStyle w:val="Compact"/>
            </w:pPr>
            <w:r>
              <w:t xml:space="preserve">Part B, B8; Part B, B7 (Section 2/4)</w:t>
            </w:r>
          </w:p>
        </w:tc>
      </w:tr>
      <w:tr>
        <w:tc>
          <w:tcPr/>
          <w:p>
            <w:pPr>
              <w:pStyle w:val="Compact"/>
            </w:pPr>
            <w:r>
              <w:rPr>
                <w:b/>
                <w:bCs/>
              </w:rPr>
              <w:t xml:space="preserve">Disease levels</w:t>
            </w:r>
          </w:p>
        </w:tc>
        <w:tc>
          <w:tcPr/>
          <w:p>
            <w:pPr>
              <w:pStyle w:val="Compact"/>
            </w:pPr>
            <w:r>
              <w:t xml:space="preserve">The climate program estimates baseline fatalities and DALYs from air pollution and their link to fuel consumption; the health program estimates baseline fatalities and DALYs from tobacco and alcohol consumption.</w:t>
            </w:r>
          </w:p>
        </w:tc>
        <w:tc>
          <w:tcPr/>
          <w:p>
            <w:pPr>
              <w:pStyle w:val="Compact"/>
            </w:pPr>
            <w:r>
              <w:rPr>
                <w:b/>
                <w:bCs/>
              </w:rPr>
              <w:t xml:space="preserve">Q13</w:t>
            </w:r>
          </w:p>
        </w:tc>
        <w:tc>
          <w:tcPr/>
          <w:p>
            <w:pPr>
              <w:pStyle w:val="Compact"/>
            </w:pPr>
            <w:r>
              <w:t xml:space="preserve">Part B, B8 — Disease burden</w:t>
            </w:r>
          </w:p>
        </w:tc>
      </w:tr>
      <w:tr>
        <w:tc>
          <w:tcPr/>
          <w:p>
            <w:pPr>
              <w:pStyle w:val="Compact"/>
            </w:pPr>
            <w:r>
              <w:rPr>
                <w:b/>
                <w:bCs/>
              </w:rPr>
              <w:t xml:space="preserve">Price evolution</w:t>
            </w:r>
          </w:p>
        </w:tc>
        <w:tc>
          <w:tcPr/>
          <w:p>
            <w:pPr>
              <w:pStyle w:val="Compact"/>
            </w:pPr>
            <w:r>
              <w:t xml:space="preserve">The health program compares the price evolution of health-related products with CPI inflation and as a share of household incomes (affordability). The climate program does neither but holds the data.</w:t>
            </w:r>
          </w:p>
        </w:tc>
        <w:tc>
          <w:tcPr/>
          <w:p>
            <w:pPr>
              <w:pStyle w:val="Compact"/>
            </w:pPr>
            <w:r>
              <w:rPr>
                <w:b/>
                <w:bCs/>
              </w:rPr>
              <w:t xml:space="preserve">Q7, Q14</w:t>
            </w:r>
          </w:p>
        </w:tc>
        <w:tc>
          <w:tcPr/>
          <w:p>
            <w:pPr>
              <w:pStyle w:val="Compact"/>
            </w:pPr>
            <w:r>
              <w:t xml:space="preserve">Part A, Q7; Part B, B8 — Affordability</w:t>
            </w:r>
          </w:p>
        </w:tc>
      </w:tr>
      <w:tr>
        <w:tc>
          <w:tcPr>
            <w:gridSpan w:val="4"/>
          </w:tcPr>
          <w:p>
            <w:pPr>
              <w:pStyle w:val="Compact"/>
            </w:pPr>
            <w:r>
              <w:rPr>
                <w:b/>
                <w:bCs/>
              </w:rPr>
              <w:t xml:space="preserve">Reform analysis</w:t>
            </w:r>
          </w:p>
        </w:tc>
      </w:tr>
      <w:tr>
        <w:tc>
          <w:tcPr/>
          <w:p>
            <w:pPr>
              <w:pStyle w:val="Compact"/>
            </w:pPr>
            <w:r>
              <w:rPr>
                <w:b/>
                <w:bCs/>
              </w:rPr>
              <w:t xml:space="preserve">Revenue</w:t>
            </w:r>
          </w:p>
        </w:tc>
        <w:tc>
          <w:tcPr/>
          <w:p>
            <w:pPr>
              <w:pStyle w:val="Compact"/>
            </w:pPr>
            <w:r>
              <w:t xml:space="preserve">Both programs quantify the revenue impacts of tax reforms.</w:t>
            </w:r>
          </w:p>
        </w:tc>
        <w:tc>
          <w:tcPr/>
          <w:p>
            <w:pPr>
              <w:pStyle w:val="Compact"/>
            </w:pPr>
            <w:r>
              <w:rPr>
                <w:b/>
                <w:bCs/>
              </w:rPr>
              <w:t xml:space="preserve">Q15</w:t>
            </w:r>
          </w:p>
        </w:tc>
        <w:tc>
          <w:tcPr/>
          <w:p>
            <w:pPr>
              <w:pStyle w:val="Compact"/>
            </w:pPr>
            <w:r>
              <w:t xml:space="preserve">Part B, B8 — Reform analysis</w:t>
            </w:r>
          </w:p>
        </w:tc>
      </w:tr>
      <w:tr>
        <w:tc>
          <w:tcPr/>
          <w:p>
            <w:pPr>
              <w:pStyle w:val="Compact"/>
            </w:pPr>
            <w:r>
              <w:rPr>
                <w:b/>
                <w:bCs/>
              </w:rPr>
              <w:t xml:space="preserve">Prices</w:t>
            </w:r>
          </w:p>
        </w:tc>
        <w:tc>
          <w:tcPr/>
          <w:p>
            <w:pPr>
              <w:pStyle w:val="Compact"/>
            </w:pPr>
            <w:r>
              <w:t xml:space="preserve">Both programs quantify the impact of tax reforms on product prices.</w:t>
            </w:r>
          </w:p>
        </w:tc>
        <w:tc>
          <w:tcPr/>
          <w:p>
            <w:pPr>
              <w:pStyle w:val="Compact"/>
            </w:pPr>
            <w:r>
              <w:rPr>
                <w:b/>
                <w:bCs/>
              </w:rPr>
              <w:t xml:space="preserve">Q16</w:t>
            </w:r>
          </w:p>
        </w:tc>
        <w:tc>
          <w:tcPr/>
          <w:p>
            <w:pPr>
              <w:pStyle w:val="Compact"/>
            </w:pPr>
            <w:r>
              <w:t xml:space="preserve">Part B, B8 — Reform analysis</w:t>
            </w:r>
          </w:p>
        </w:tc>
      </w:tr>
      <w:tr>
        <w:tc>
          <w:tcPr/>
          <w:p>
            <w:pPr>
              <w:pStyle w:val="Compact"/>
            </w:pPr>
            <w:r>
              <w:rPr>
                <w:b/>
                <w:bCs/>
              </w:rPr>
              <w:t xml:space="preserve">Product use</w:t>
            </w:r>
          </w:p>
        </w:tc>
        <w:tc>
          <w:tcPr/>
          <w:p>
            <w:pPr>
              <w:pStyle w:val="Compact"/>
            </w:pPr>
            <w:r>
              <w:t xml:space="preserve">The climate program estimates how fuel taxes reduce fuel consumption; the health program estimates how health taxes reduce consumption of health-related products.</w:t>
            </w:r>
          </w:p>
        </w:tc>
        <w:tc>
          <w:tcPr/>
          <w:p>
            <w:pPr>
              <w:pStyle w:val="Compact"/>
            </w:pPr>
            <w:r>
              <w:rPr>
                <w:b/>
                <w:bCs/>
              </w:rPr>
              <w:t xml:space="preserve">Q17</w:t>
            </w:r>
          </w:p>
        </w:tc>
        <w:tc>
          <w:tcPr/>
          <w:p>
            <w:pPr>
              <w:pStyle w:val="Compact"/>
            </w:pPr>
            <w:r>
              <w:t xml:space="preserve">Part B, B8 — Reform analysis</w:t>
            </w:r>
          </w:p>
        </w:tc>
      </w:tr>
      <w:tr>
        <w:tc>
          <w:tcPr/>
          <w:p>
            <w:pPr>
              <w:pStyle w:val="Compact"/>
            </w:pPr>
            <w:r>
              <w:rPr>
                <w:b/>
                <w:bCs/>
              </w:rPr>
              <w:t xml:space="preserve">Disease</w:t>
            </w:r>
          </w:p>
        </w:tc>
        <w:tc>
          <w:tcPr/>
          <w:p>
            <w:pPr>
              <w:pStyle w:val="Compact"/>
            </w:pPr>
            <w:r>
              <w:t xml:space="preserve">The climate program estimates how fuel taxes reduce fatalities and DALYs from air pollution and the associated health-care cost savings; the health program estimates the equivalent for health-related products.</w:t>
            </w:r>
          </w:p>
        </w:tc>
        <w:tc>
          <w:tcPr/>
          <w:p>
            <w:pPr>
              <w:pStyle w:val="Compact"/>
            </w:pPr>
            <w:r>
              <w:rPr>
                <w:b/>
                <w:bCs/>
              </w:rPr>
              <w:t xml:space="preserve">Q18</w:t>
            </w:r>
          </w:p>
        </w:tc>
        <w:tc>
          <w:tcPr/>
          <w:p>
            <w:pPr>
              <w:pStyle w:val="Compact"/>
            </w:pPr>
            <w:r>
              <w:t xml:space="preserve">Part B, B8 — Reform analysis</w:t>
            </w:r>
          </w:p>
        </w:tc>
      </w:tr>
      <w:tr>
        <w:tc>
          <w:tcPr/>
          <w:p>
            <w:pPr>
              <w:pStyle w:val="Compact"/>
            </w:pPr>
            <w:r>
              <w:rPr>
                <w:b/>
                <w:bCs/>
              </w:rPr>
              <w:t xml:space="preserve">Equity</w:t>
            </w:r>
          </w:p>
        </w:tc>
        <w:tc>
          <w:tcPr/>
          <w:p>
            <w:pPr>
              <w:pStyle w:val="Compact"/>
            </w:pPr>
            <w:r>
              <w:t xml:space="preserve">The climate program quantifies equity effects of fuel-price changes using household surveys and input-output tables. Tobacco equity is simulated country-by-country (TOBACTAX); there is no 125-country body of evidence as for fuels. Could the household surveys used in CPAT be reopened to simulate equity effects of health taxes — feasible for tobacco and alcohol, though SSBs may not be separable? Both programs vary price elasticities by income group. (Norman has worked on equity effects of health taxes.)</w:t>
            </w:r>
          </w:p>
        </w:tc>
        <w:tc>
          <w:tcPr/>
          <w:p>
            <w:pPr>
              <w:pStyle w:val="Compact"/>
            </w:pPr>
            <w:r>
              <w:rPr>
                <w:b/>
                <w:bCs/>
              </w:rPr>
              <w:t xml:space="preserve">Q19</w:t>
            </w:r>
          </w:p>
        </w:tc>
        <w:tc>
          <w:tcPr/>
          <w:p>
            <w:pPr>
              <w:pStyle w:val="Compact"/>
            </w:pPr>
            <w:r>
              <w:t xml:space="preserve">Part B, B8 — Reform analysis (Equity); Part B, B7 (Section 5)</w:t>
            </w:r>
          </w:p>
        </w:tc>
      </w:tr>
      <w:tr>
        <w:tc>
          <w:tcPr/>
          <w:p>
            <w:pPr>
              <w:pStyle w:val="Compact"/>
            </w:pPr>
            <w:r>
              <w:rPr>
                <w:b/>
                <w:bCs/>
              </w:rPr>
              <w:t xml:space="preserve">Macroeconomic effects</w:t>
            </w:r>
          </w:p>
        </w:tc>
        <w:tc>
          <w:tcPr/>
          <w:p>
            <w:pPr>
              <w:pStyle w:val="Compact"/>
            </w:pPr>
            <w:r>
              <w:t xml:space="preserve">The health program does not yet estimate output and employment effects of health taxes, but available revenues would support fiscal-multiplier analysis.</w:t>
            </w:r>
          </w:p>
        </w:tc>
        <w:tc>
          <w:tcPr/>
          <w:p>
            <w:pPr>
              <w:pStyle w:val="Compact"/>
            </w:pPr>
            <w:r>
              <w:rPr>
                <w:b/>
                <w:bCs/>
              </w:rPr>
              <w:t xml:space="preserve">Q20</w:t>
            </w:r>
          </w:p>
        </w:tc>
        <w:tc>
          <w:tcPr/>
          <w:p>
            <w:pPr>
              <w:pStyle w:val="Compact"/>
            </w:pPr>
            <w:r>
              <w:t xml:space="preserve">Part B, B8 — Reform analysis</w:t>
            </w:r>
          </w:p>
        </w:tc>
      </w:tr>
      <w:tr>
        <w:tc>
          <w:tcPr/>
          <w:p>
            <w:pPr>
              <w:pStyle w:val="Compact"/>
            </w:pPr>
            <w:r>
              <w:rPr>
                <w:b/>
                <w:bCs/>
              </w:rPr>
              <w:t xml:space="preserve">Informality / illicit trade</w:t>
            </w:r>
          </w:p>
        </w:tc>
        <w:tc>
          <w:tcPr/>
          <w:p>
            <w:pPr>
              <w:pStyle w:val="Compact"/>
            </w:pPr>
            <w:r>
              <w:t xml:space="preserve">The climate program presents informality as a reason to tax fuels (harder to evade than income tax or VAT); the health program treats illicit trade as a worry. Both cases are strengthened by comparing vulnerability with that of conventional taxes. (Norman has worked on measuring illicit cigarette trade.)</w:t>
            </w:r>
          </w:p>
        </w:tc>
        <w:tc>
          <w:tcPr/>
          <w:p>
            <w:pPr>
              <w:pStyle w:val="Compact"/>
            </w:pPr>
            <w:r>
              <w:rPr>
                <w:b/>
                <w:bCs/>
              </w:rPr>
              <w:t xml:space="preserve">Q21</w:t>
            </w:r>
          </w:p>
        </w:tc>
        <w:tc>
          <w:tcPr/>
          <w:p>
            <w:pPr>
              <w:pStyle w:val="Compact"/>
            </w:pPr>
            <w:r>
              <w:t xml:space="preserve">Part B, B8 — Reform analysis</w:t>
            </w:r>
          </w:p>
        </w:tc>
      </w:tr>
      <w:tr>
        <w:tc>
          <w:tcPr>
            <w:gridSpan w:val="4"/>
          </w:tcPr>
          <w:p>
            <w:pPr>
              <w:pStyle w:val="Compact"/>
            </w:pPr>
            <w:r>
              <w:rPr>
                <w:b/>
                <w:bCs/>
              </w:rPr>
              <w:t xml:space="preserve">Design</w:t>
            </w:r>
          </w:p>
        </w:tc>
      </w:tr>
      <w:tr>
        <w:tc>
          <w:tcPr/>
          <w:p>
            <w:pPr>
              <w:pStyle w:val="Compact"/>
            </w:pPr>
            <w:r>
              <w:rPr>
                <w:b/>
                <w:bCs/>
              </w:rPr>
              <w:t xml:space="preserve">Specific versus ad valorem</w:t>
            </w:r>
          </w:p>
        </w:tc>
        <w:tc>
          <w:tcPr/>
          <w:p>
            <w:pPr>
              <w:pStyle w:val="Compact"/>
            </w:pPr>
            <w:r>
              <w:t xml:space="preserve">Both programs advise against ad-valorem taxes for externalities and, advising specific rates, both propose inflation updating (indexation).</w:t>
            </w:r>
          </w:p>
        </w:tc>
        <w:tc>
          <w:tcPr/>
          <w:p>
            <w:pPr>
              <w:pStyle w:val="Compact"/>
            </w:pPr>
            <w:r>
              <w:rPr>
                <w:b/>
                <w:bCs/>
              </w:rPr>
              <w:t xml:space="preserve">Q22, Q23</w:t>
            </w:r>
          </w:p>
        </w:tc>
        <w:tc>
          <w:tcPr/>
          <w:p>
            <w:pPr>
              <w:pStyle w:val="Compact"/>
            </w:pPr>
            <w:r>
              <w:t xml:space="preserve">Part B, B8 — Design; Part A, Q5 (erosion)</w:t>
            </w:r>
          </w:p>
        </w:tc>
      </w:tr>
      <w:tr>
        <w:tc>
          <w:tcPr>
            <w:gridSpan w:val="4"/>
          </w:tcPr>
          <w:p>
            <w:pPr>
              <w:pStyle w:val="Compact"/>
            </w:pPr>
            <w:r>
              <w:rPr>
                <w:b/>
                <w:bCs/>
              </w:rPr>
              <w:t xml:space="preserve">Scope</w:t>
            </w:r>
          </w:p>
        </w:tc>
      </w:tr>
      <w:tr>
        <w:tc>
          <w:tcPr/>
          <w:p>
            <w:pPr>
              <w:pStyle w:val="Compact"/>
            </w:pPr>
            <w:r>
              <w:rPr>
                <w:b/>
                <w:bCs/>
              </w:rPr>
              <w:t xml:space="preserve">Equity apparatus / IO tables</w:t>
            </w:r>
          </w:p>
        </w:tc>
        <w:tc>
          <w:tcPr/>
          <w:p>
            <w:pPr>
              <w:pStyle w:val="Compact"/>
            </w:pPr>
            <w:r>
              <w:t xml:space="preserve">CPAT models indirect consumption of fuels used as inputs to other goods, so it harmonises household surveys with input-output tables. Health taxes need no such treatment — alcohol, tobacco and SSBs are consumed directly and taxed downstream — so the survey apparatus can be reused for health-tax incidence without reconciling against IO tables.</w:t>
            </w:r>
          </w:p>
        </w:tc>
        <w:tc>
          <w:tcPr/>
          <w:p>
            <w:pPr>
              <w:pStyle w:val="Compact"/>
            </w:pPr>
            <w:r>
              <w:rPr>
                <w:b/>
                <w:bCs/>
              </w:rPr>
              <w:t xml:space="preserve">—</w:t>
            </w:r>
          </w:p>
        </w:tc>
        <w:tc>
          <w:tcPr/>
          <w:p>
            <w:pPr>
              <w:pStyle w:val="Compact"/>
            </w:pPr>
            <w:r>
              <w:t xml:space="preserve">Part B, B8 — What the join does and does not require</w:t>
            </w:r>
          </w:p>
        </w:tc>
      </w:tr>
      <w:tr>
        <w:tc>
          <w:tcPr>
            <w:gridSpan w:val="4"/>
          </w:tcPr>
          <w:p>
            <w:pPr>
              <w:pStyle w:val="Compact"/>
            </w:pPr>
            <w:r>
              <w:rPr>
                <w:b/>
                <w:bCs/>
              </w:rPr>
              <w:t xml:space="preserve">Tools</w:t>
            </w:r>
          </w:p>
        </w:tc>
      </w:tr>
      <w:tr>
        <w:tc>
          <w:tcPr/>
          <w:p>
            <w:pPr>
              <w:pStyle w:val="Compact"/>
            </w:pPr>
            <w:r>
              <w:rPr>
                <w:b/>
                <w:bCs/>
              </w:rPr>
              <w:t xml:space="preserve">Tool inventory and visualisation</w:t>
            </w:r>
          </w:p>
        </w:tc>
        <w:tc>
          <w:tcPr/>
          <w:p>
            <w:pPr>
              <w:pStyle w:val="Compact"/>
            </w:pPr>
            <w:r>
              <w:t xml:space="preserve">Identify the analytical tools held by both teams and surface them on the excise-tax section of the website. Is a joint Power BI website feasible, or is the output better delivered as a PFR Visualisation Tool input?</w:t>
            </w:r>
          </w:p>
        </w:tc>
        <w:tc>
          <w:tcPr/>
          <w:p>
            <w:pPr>
              <w:pStyle w:val="Compact"/>
            </w:pPr>
            <w:r>
              <w:rPr>
                <w:b/>
                <w:bCs/>
              </w:rPr>
              <w:t xml:space="preserve">—</w:t>
            </w:r>
          </w:p>
        </w:tc>
        <w:tc>
          <w:tcPr/>
          <w:p>
            <w:pPr>
              <w:pStyle w:val="Compact"/>
            </w:pPr>
            <w:r>
              <w:t xml:space="preserve">Part B, B8; Next Steps</w:t>
            </w:r>
          </w:p>
        </w:tc>
      </w:tr>
    </w:tbl>
    <w:p>
      <w:pPr>
        <w:pStyle w:val="BodyText"/>
      </w:pPr>
      <w:r>
        <w:rPr>
          <w:i/>
          <w:iCs/>
        </w:rPr>
        <w:t xml:space="preserve">Note: “Norman” references in the original capacities note (equity effects of health taxes; measuring illicit cigarette trade) are retained as leads for the equity and informality questions (Q19, Q21). “TCP” is the Total Carbon Price; “DALYs” are disability-adjusted life years; “IO” denotes input–output tables.</w:t>
      </w:r>
    </w:p>
    <w:p>
      <w:pPr>
        <w:pStyle w:val="BodyText"/>
      </w:pPr>
      <w:r>
        <w:t xml:space="preserve">**</w:t>
      </w:r>
    </w:p>
    <w:bookmarkEnd w:id="145"/>
    <w:bookmarkStart w:id="148" w:name="X4b20159feb49302c64498aecde11308f372eeb9"/>
    <w:p>
      <w:pPr>
        <w:pStyle w:val="Heading1"/>
      </w:pPr>
      <w:r>
        <w:t xml:space="preserve">Appendix E: Original Claude Prompts (Using Claude Opus 4.7)</w:t>
      </w:r>
    </w:p>
    <w:p>
      <w:pPr>
        <w:pStyle w:val="FirstParagraph"/>
      </w:pPr>
      <w:r>
        <w:t xml:space="preserve">See:</w:t>
      </w:r>
      <w:r>
        <w:t xml:space="preserve"> </w:t>
      </w:r>
      <w:hyperlink r:id="rId146">
        <w:r>
          <w:rPr>
            <w:rStyle w:val="Hyperlink"/>
          </w:rPr>
          <w:t xml:space="preserve">https://claude.ai/share/</w:t>
        </w:r>
      </w:hyperlink>
      <w:hyperlink r:id="rId147">
        <w:r>
          <w:rPr>
            <w:rStyle w:val="Hyperlink"/>
            <w:i/>
            <w:iCs/>
          </w:rPr>
          <w:t xml:space="preserve">237eaeb7-3e36-47e8-9236-277adb0da18b</w:t>
        </w:r>
      </w:hyperlink>
    </w:p>
    <w:p>
      <w:pPr>
        <w:numPr>
          <w:ilvl w:val="0"/>
          <w:numId w:val="1026"/>
        </w:numPr>
      </w:pPr>
      <w:r>
        <w:t xml:space="preserve">For Uganda, give a detailed representation of Excise starting point (2020) and Excise changes in 2020-2026, and end point (feel free to choose the last finance act). Give a concise description of the starting point across different sectors of excises, and then the changes and thenn the final point. Summarize this in a table at the end.</w:t>
      </w:r>
    </w:p>
    <w:p>
      <w:pPr>
        <w:numPr>
          <w:ilvl w:val="0"/>
          <w:numId w:val="1026"/>
        </w:numPr>
      </w:pPr>
      <w:r>
        <w:t xml:space="preserve">“Same for Sierra Leone”</w:t>
      </w:r>
    </w:p>
    <w:p>
      <w:pPr>
        <w:numPr>
          <w:ilvl w:val="0"/>
          <w:numId w:val="1026"/>
        </w:numPr>
      </w:pPr>
      <w:r>
        <w:t xml:space="preserve">“OK could you give me a typology of excises. Start with env/energy related taxes and health related then others. Give the main categories.”</w:t>
      </w:r>
    </w:p>
    <w:p>
      <w:pPr>
        <w:numPr>
          <w:ilvl w:val="0"/>
          <w:numId w:val="1026"/>
        </w:numPr>
      </w:pPr>
      <w:r>
        <w:t xml:space="preserve">“That’s great. Construct a table for the current rates for Uganda, and a second one for Sierra Leone. Give consistent columns. Also include</w:t>
      </w:r>
      <w:r>
        <w:t xml:space="preserve"> </w:t>
      </w:r>
      <w:r>
        <w:t xml:space="preserve">‘recent changes’</w:t>
      </w:r>
      <w:r>
        <w:t xml:space="preserve"> </w:t>
      </w:r>
      <w:r>
        <w:t xml:space="preserve">in addition to the cross-cutting dimensions above.”</w:t>
      </w:r>
    </w:p>
    <w:p>
      <w:pPr>
        <w:numPr>
          <w:ilvl w:val="0"/>
          <w:numId w:val="1026"/>
        </w:numPr>
      </w:pPr>
      <w:r>
        <w:t xml:space="preserve">“Now give me a paper</w:t>
      </w:r>
      <w:r>
        <w:t xml:space="preserve"> </w:t>
      </w:r>
      <w:r>
        <w:t xml:space="preserve">‘Excise diagnostic’</w:t>
      </w:r>
      <w:r>
        <w:t xml:space="preserve">. Introduce what it is, what it is for (this section — quite short) and then give appendix which is the diagnostic for Uganda and Sierra Leone. Then give as a second appendix the recent changes.”</w:t>
      </w:r>
    </w:p>
    <w:p>
      <w:pPr>
        <w:numPr>
          <w:ilvl w:val="0"/>
          <w:numId w:val="1026"/>
        </w:numPr>
      </w:pPr>
      <w:r>
        <w:t xml:space="preserve">“Could you provide a summary section that now scales up this into some measure that is comparable, e.g. for a few priority sectors (energy/veh and health) % of GDP, $/standardized unit, and % of value?“ [Button selection] Add new section to existing docx</w:t>
      </w:r>
    </w:p>
    <w:p>
      <w:pPr>
        <w:numPr>
          <w:ilvl w:val="0"/>
          <w:numId w:val="1026"/>
        </w:numPr>
      </w:pPr>
      <w:r>
        <w:t xml:space="preserve">“Could you reorder this and put the systematic part into the main text. Please make it fully consistent — make sure there’s a methodology part if needed.“ [Button selection]”</w:t>
      </w:r>
      <w:r>
        <w:t xml:space="preserve">What is it, three measures, methodology, results, conclusion, appendices (as you wish)”</w:t>
      </w:r>
    </w:p>
    <w:bookmarkEnd w:id="148"/>
    <w:bookmarkStart w:id="149" w:name="section-1"/>
    <w:p>
      <w:pPr>
        <w:pStyle w:val="Heading1"/>
      </w:pPr>
    </w:p>
    <w:bookmarkEnd w:id="1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5">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6">
    <w:abstractNumId w:val="991"/>
  </w:num>
  <w:num w:numId="1007">
    <w:abstractNumId w:val="991"/>
  </w:num>
  <w:num w:numId="1008">
    <w:abstractNumId w:val="991"/>
  </w:num>
  <w:num w:numId="1009">
    <w:abstractNumId w:val="991"/>
  </w:num>
  <w:num w:numId="1010">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6" Target="https://claude.ai/share/" TargetMode="External" /><Relationship Type="http://schemas.openxmlformats.org/officeDocument/2006/relationships/hyperlink" Id="rId147" Target="https://claude.ai/share/237eaeb7-3e36-47e8-9236-277adb0da18b" TargetMode="External" /></Relationships>
</file>

<file path=word/_rels/footnotes.xml.rels><?xml version="1.0" encoding="UTF-8"?><Relationships xmlns="http://schemas.openxmlformats.org/package/2006/relationships"><Relationship Type="http://schemas.openxmlformats.org/officeDocument/2006/relationships/hyperlink" Id="rId146" Target="https://claude.ai/share/" TargetMode="External" /><Relationship Type="http://schemas.openxmlformats.org/officeDocument/2006/relationships/hyperlink" Id="rId147" Target="https://claude.ai/share/237eaeb7-3e36-47e8-9236-277adb0da18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ExciseFiscalDiagnostic</dc:title>
  <dc:creator/>
  <cp:keywords/>
  <dcterms:created xsi:type="dcterms:W3CDTF">2026-09-17T20:12:20Z</dcterms:created>
  <dcterms:modified xsi:type="dcterms:W3CDTF">2026-09-17T20:12:20Z</dcterms:modified>
</cp:coreProperties>
</file>

<file path=docProps/custom.xml><?xml version="1.0" encoding="utf-8"?>
<Properties xmlns="http://schemas.openxmlformats.org/officeDocument/2006/custom-properties" xmlns:vt="http://schemas.openxmlformats.org/officeDocument/2006/docPropsVTypes"/>
</file>