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Total Effective Carbon Price</w:t>
      </w:r>
    </w:p>
    <w:p>
      <w:pPr>
        <w:pStyle w:val="Subtitle"/>
      </w:pPr>
      <w:r>
        <w:t xml:space="preserve">A CES-based metric for comparing climate policy instruments,</w:t>
      </w:r>
      <w:r>
        <w:t xml:space="preserve"> </w:t>
      </w:r>
      <w:r>
        <w:t xml:space="preserve">with a microeconomic foundation in energy demand and partial adjustment</w:t>
      </w:r>
    </w:p>
    <w:p>
      <w:pPr>
        <w:pStyle w:val="Date"/>
      </w:pPr>
      <w:r>
        <w:t xml:space="preserve">May 2026</w:t>
      </w:r>
    </w:p>
    <w:p>
      <w:pPr>
        <w:pStyle w:val="AbstractTitle"/>
      </w:pPr>
      <w:r>
        <w:t xml:space="preserve">Abstract</w:t>
      </w:r>
    </w:p>
    <w:p>
      <w:pPr>
        <w:pStyle w:val="Abstract"/>
      </w:pPr>
      <w:r>
        <w:t xml:space="preserve">Countries deploy heterogeneous mixes of climate policy instruments — carbon taxes,</w:t>
      </w:r>
      <w:r>
        <w:t xml:space="preserve"> </w:t>
      </w:r>
      <w:r>
        <w:t xml:space="preserve">emissions trading systems, feebates, fuel excise duties, clean fuel standards,</w:t>
      </w:r>
      <w:r>
        <w:t xml:space="preserve"> </w:t>
      </w:r>
      <w:r>
        <w:t xml:space="preserve">subsidies. Existing metrics, including the OECD’s Effective Carbon Rate and the</w:t>
      </w:r>
      <w:r>
        <w:t xml:space="preserve"> </w:t>
      </w:r>
      <w:r>
        <w:t xml:space="preserve">IMF’s effective carbon price, aggregate the nominal price signals these instruments</w:t>
      </w:r>
      <w:r>
        <w:t xml:space="preserve"> </w:t>
      </w:r>
      <w:r>
        <w:t xml:space="preserve">impose, but do not weight them by their abatement effectiveness. As a result they</w:t>
      </w:r>
      <w:r>
        <w:t xml:space="preserve"> </w:t>
      </w:r>
      <w:r>
        <w:t xml:space="preserve">cannot compare a carbon tax to a feebate, a feebate to a fuel standard, or any of</w:t>
      </w:r>
      <w:r>
        <w:t xml:space="preserve"> </w:t>
      </w:r>
      <w:r>
        <w:t xml:space="preserve">these to a clean-electricity mandate. They measure what is paid, not what is achieved.</w:t>
      </w:r>
    </w:p>
    <w:p>
      <w:pPr>
        <w:pStyle w:val="Abstract"/>
      </w:pPr>
      <w:r>
        <w:t xml:space="preserve">This paper proposes the</w:t>
      </w:r>
      <w:r>
        <w:t xml:space="preserve"> </w:t>
      </w:r>
      <w:r>
        <w:rPr>
          <w:b/>
          <w:bCs/>
        </w:rPr>
        <w:t xml:space="preserve">Total Effective Carbon Price</w:t>
      </w:r>
      <w:r>
        <w:t xml:space="preserve"> </w:t>
      </w:r>
      <w:r>
        <w:t xml:space="preserve">(TECP): a single</w:t>
      </w:r>
      <w:r>
        <w:t xml:space="preserve"> </w:t>
      </w:r>
      <w:r>
        <w:t xml:space="preserve">economy-wide carbon-tax-equivalent that would produce the same emissions reduction</w:t>
      </w:r>
      <w:r>
        <w:t xml:space="preserve"> </w:t>
      </w:r>
      <w:r>
        <w:t xml:space="preserve">as the actual policy mix. The TECP is derived from a nested CES energy demand model</w:t>
      </w:r>
      <w:r>
        <w:t xml:space="preserve"> </w:t>
      </w:r>
      <w:r>
        <w:t xml:space="preserve">that decomposes each policy into two channels: an</w:t>
      </w:r>
      <w:r>
        <w:t xml:space="preserve"> </w:t>
      </w:r>
      <w:r>
        <w:rPr>
          <w:i/>
          <w:iCs/>
        </w:rPr>
        <w:t xml:space="preserve">intensive</w:t>
      </w:r>
      <w:r>
        <w:t xml:space="preserve"> </w:t>
      </w:r>
      <w:r>
        <w:t xml:space="preserve">(fuel-switching)</w:t>
      </w:r>
      <w:r>
        <w:t xml:space="preserve"> </w:t>
      </w:r>
      <w:r>
        <w:t xml:space="preserve">margin governed by the substitution elasticity</w:t>
      </w:r>
      <w:r>
        <w:t xml:space="preserve"> </w:t>
      </w:r>
      <m:oMath>
        <m:r>
          <m:t>σ</m:t>
        </m:r>
      </m:oMath>
      <w:r>
        <w:t xml:space="preserve">, and an</w:t>
      </w:r>
      <w:r>
        <w:t xml:space="preserve"> </w:t>
      </w:r>
      <w:r>
        <w:rPr>
          <w:i/>
          <w:iCs/>
        </w:rPr>
        <w:t xml:space="preserve">extensive</w:t>
      </w:r>
      <w:r>
        <w:t xml:space="preserve"> </w:t>
      </w:r>
      <w:r>
        <w:t xml:space="preserve">(demand-reduction) margin governed by the aggregate energy demand elasticity</w:t>
      </w:r>
      <w:r>
        <w:t xml:space="preserve"> </w:t>
      </w:r>
      <m:oMath>
        <m:r>
          <m:t>η</m:t>
        </m:r>
      </m:oMath>
      <w:r>
        <w:t xml:space="preserve">.</w:t>
      </w:r>
      <w:r>
        <w:t xml:space="preserve"> </w:t>
      </w:r>
      <w:r>
        <w:t xml:space="preserve">Each policy instrument is mapped to an intensive and an extensive carbon price;</w:t>
      </w:r>
      <w:r>
        <w:t xml:space="preserve"> </w:t>
      </w:r>
      <w:r>
        <w:t xml:space="preserve">these are weighted by abatement weights — properties of the economy, not of the</w:t>
      </w:r>
      <w:r>
        <w:t xml:space="preserve"> </w:t>
      </w:r>
      <w:r>
        <w:t xml:space="preserve">policy — derived from the energy balance, fuel prices, emission factors, and demand</w:t>
      </w:r>
      <w:r>
        <w:t xml:space="preserve"> </w:t>
      </w:r>
      <w:r>
        <w:t xml:space="preserve">elasticities.</w:t>
      </w:r>
    </w:p>
    <w:p>
      <w:pPr>
        <w:pStyle w:val="Abstract"/>
      </w:pPr>
      <w:r>
        <w:t xml:space="preserve">The paper is in two parts. Part I develops the TECP metric and the headline formula.</w:t>
      </w:r>
      <w:r>
        <w:t xml:space="preserve"> </w:t>
      </w:r>
      <w:r>
        <w:t xml:space="preserve">Part II develops the microeconomic engine: a nested CES with split-speed partial</w:t>
      </w:r>
      <w:r>
        <w:t xml:space="preserve"> </w:t>
      </w:r>
      <w:r>
        <w:t xml:space="preserve">adjustment, in which conservation responds quickly to price signals while fuel</w:t>
      </w:r>
      <w:r>
        <w:t xml:space="preserve"> </w:t>
      </w:r>
      <w:r>
        <w:t xml:space="preserve">switching responds slowly because it requires capital replacement. The two parts</w:t>
      </w:r>
      <w:r>
        <w:t xml:space="preserve"> </w:t>
      </w:r>
      <w:r>
        <w:t xml:space="preserve">are self-contained but complementary: the TECP is the policy-facing application;</w:t>
      </w:r>
      <w:r>
        <w:t xml:space="preserve"> </w:t>
      </w:r>
      <w:r>
        <w:t xml:space="preserve">the CES model is the structure that makes it tractable. A prototype implementation</w:t>
      </w:r>
      <w:r>
        <w:t xml:space="preserve"> </w:t>
      </w:r>
      <w:r>
        <w:t xml:space="preserve">runs in a single spreadsheet in under a second.</w:t>
      </w:r>
    </w:p>
    <w:bookmarkStart w:id="12" w:name="executive-summary"/>
    <w:p>
      <w:pPr>
        <w:pStyle w:val="Heading1"/>
      </w:pPr>
      <w:r>
        <w:t xml:space="preserve">Executive Summary</w:t>
      </w:r>
    </w:p>
    <w:p>
      <w:pPr>
        <w:pStyle w:val="FirstParagraph"/>
      </w:pPr>
      <w:r>
        <w:t xml:space="preserve">Every country that taxes carbon believes it is pricing emissions. Most of them are</w:t>
      </w:r>
      <w:r>
        <w:t xml:space="preserve"> </w:t>
      </w:r>
      <w:r>
        <w:t xml:space="preserve">measuring the wrong thing. The wrong thing is the nominal rate. The right thing is</w:t>
      </w:r>
      <w:r>
        <w:t xml:space="preserve"> </w:t>
      </w:r>
      <w:r>
        <w:t xml:space="preserve">the price the economy actually feels.</w:t>
      </w:r>
    </w:p>
    <w:p>
      <w:pPr>
        <w:pStyle w:val="BodyText"/>
      </w:pPr>
      <w:r>
        <w:t xml:space="preserve">A $30 carbon tax applied to a fuel that nobody can substitute away from is a revenue</w:t>
      </w:r>
      <w:r>
        <w:t xml:space="preserve"> </w:t>
      </w:r>
      <w:r>
        <w:t xml:space="preserve">instrument. The same tax applied to a fuel with a clean alternative is a transition</w:t>
      </w:r>
      <w:r>
        <w:t xml:space="preserve"> </w:t>
      </w:r>
      <w:r>
        <w:t xml:space="preserve">instrument. The number is the same. The effect on emissions is not. The Total</w:t>
      </w:r>
      <w:r>
        <w:t xml:space="preserve"> </w:t>
      </w:r>
      <w:r>
        <w:t xml:space="preserve">Effective Carbon Price measures what the economy feels.</w:t>
      </w:r>
    </w:p>
    <w:bookmarkStart w:id="9" w:name="the-headline-formula"/>
    <w:p>
      <w:pPr>
        <w:pStyle w:val="Heading2"/>
      </w:pPr>
      <w:r>
        <w:t xml:space="preserve">The headline formula</w:t>
      </w:r>
    </w:p>
    <w:p>
      <w:pPr>
        <w:pStyle w:val="FirstParagraph"/>
      </w:pPr>
      <m:oMathPara>
        <m:oMathParaPr>
          <m:jc m:val="center"/>
        </m:oMathParaPr>
        <m:oMath>
          <m:sSup>
            <m:e>
              <m:r>
                <m:t>τ</m:t>
              </m:r>
            </m:e>
            <m:sup>
              <m:r>
                <m:rPr>
                  <m:sty m:val="p"/>
                </m:rPr>
                <m:t>*</m:t>
              </m:r>
            </m:sup>
          </m:sSup>
          <m:r>
            <m:t> </m:t>
          </m:r>
          <m:r>
            <m:rPr>
              <m:sty m:val="p"/>
            </m:rPr>
            <m:t>=</m:t>
          </m:r>
          <m:r>
            <m:t> </m:t>
          </m:r>
          <m:f>
            <m:fPr>
              <m:type m:val="bar"/>
            </m:fPr>
            <m:num>
              <m:r>
                <m:t>1</m:t>
              </m:r>
            </m:num>
            <m:den>
              <m:r>
                <m:rPr>
                  <m:sty m:val="p"/>
                </m:rPr>
                <m:t>Λ</m:t>
              </m:r>
            </m:den>
          </m:f>
          <m:r>
            <m:t> </m:t>
          </m:r>
          <m:nary>
            <m:naryPr>
              <m:chr m:val="∑"/>
              <m:limLoc m:val="undOvr"/>
              <m:subHide m:val="off"/>
              <m:supHide m:val="on"/>
            </m:naryPr>
            <m:sub>
              <m:r>
                <m:t>s</m:t>
              </m:r>
            </m:sub>
            <m:sup>
              <m:r>
                <m:t>​</m:t>
              </m:r>
            </m:sup>
            <m:e>
              <m:nary>
                <m:naryPr>
                  <m:chr m:val="∑"/>
                  <m:limLoc m:val="undOvr"/>
                  <m:subHide m:val="off"/>
                  <m:supHide m:val="on"/>
                </m:naryPr>
                <m:sub>
                  <m:r>
                    <m:t>f</m:t>
                  </m:r>
                </m:sub>
                <m:sup>
                  <m:r>
                    <m:t>​</m:t>
                  </m:r>
                </m:sup>
                <m:e>
                  <m:sSub>
                    <m:e>
                      <m:r>
                        <m:t>E</m:t>
                      </m:r>
                    </m:e>
                    <m:sub>
                      <m:r>
                        <m:t>f</m:t>
                      </m:r>
                      <m:r>
                        <m:t>s</m:t>
                      </m:r>
                    </m:sub>
                  </m:sSub>
                </m:e>
              </m:nary>
            </m:e>
          </m:nary>
          <m:r>
            <m:t> </m:t>
          </m:r>
          <m:d>
            <m:dPr>
              <m:begChr m:val="["/>
              <m:sepChr m:val=""/>
              <m:endChr m:val="]"/>
              <m:grow/>
            </m:dPr>
            <m:e>
              <m:r>
                <m:t> </m:t>
              </m:r>
              <m:sSubSup>
                <m:e>
                  <m:acc>
                    <m:accPr>
                      <m:chr m:val="̃"/>
                    </m:accPr>
                    <m:e>
                      <m:r>
                        <m:t>ε</m:t>
                      </m:r>
                    </m:e>
                  </m:acc>
                </m:e>
                <m:sub>
                  <m:r>
                    <m:t>f</m:t>
                  </m:r>
                  <m:r>
                    <m:t>s</m:t>
                  </m:r>
                </m:sub>
                <m:sup>
                  <m:r>
                    <m:t> </m:t>
                  </m:r>
                  <m:r>
                    <m:rPr>
                      <m:sty m:val="p"/>
                    </m:rPr>
                    <m:t>i</m:t>
                  </m:r>
                  <m:r>
                    <m:rPr>
                      <m:sty m:val="p"/>
                    </m:rPr>
                    <m:t>n</m:t>
                  </m:r>
                  <m:r>
                    <m:rPr>
                      <m:sty m:val="p"/>
                    </m:rPr>
                    <m:t>t</m:t>
                  </m:r>
                </m:sup>
              </m:sSubSup>
              <m:r>
                <m:rPr>
                  <m:sty m:val="p"/>
                </m:rPr>
                <m:t>⋅</m:t>
              </m:r>
              <m:sSubSup>
                <m:e>
                  <m:r>
                    <m:t>τ</m:t>
                  </m:r>
                </m:e>
                <m:sub>
                  <m:r>
                    <m:t>f</m:t>
                  </m:r>
                  <m:r>
                    <m:t>s</m:t>
                  </m:r>
                </m:sub>
                <m:sup>
                  <m:r>
                    <m:rPr>
                      <m:sty m:val="p"/>
                    </m:rPr>
                    <m:t>i</m:t>
                  </m:r>
                  <m:r>
                    <m:rPr>
                      <m:sty m:val="p"/>
                    </m:rPr>
                    <m:t>n</m:t>
                  </m:r>
                  <m:r>
                    <m:rPr>
                      <m:sty m:val="p"/>
                    </m:rPr>
                    <m:t>t</m:t>
                  </m:r>
                </m:sup>
              </m:sSubSup>
              <m:r>
                <m:t> </m:t>
              </m:r>
              <m:r>
                <m:rPr>
                  <m:sty m:val="p"/>
                </m:rPr>
                <m:t>+</m:t>
              </m:r>
              <m:r>
                <m:t> </m:t>
              </m:r>
              <m:sSubSup>
                <m:e>
                  <m:acc>
                    <m:accPr>
                      <m:chr m:val="̃"/>
                    </m:accPr>
                    <m:e>
                      <m:r>
                        <m:t>ε</m:t>
                      </m:r>
                    </m:e>
                  </m:acc>
                </m:e>
                <m:sub>
                  <m:r>
                    <m:t>s</m:t>
                  </m:r>
                </m:sub>
                <m:sup>
                  <m:r>
                    <m:t> </m:t>
                  </m:r>
                  <m:r>
                    <m:rPr>
                      <m:sty m:val="p"/>
                    </m:rPr>
                    <m:t>e</m:t>
                  </m:r>
                  <m:r>
                    <m:rPr>
                      <m:sty m:val="p"/>
                    </m:rPr>
                    <m:t>x</m:t>
                  </m:r>
                  <m:r>
                    <m:rPr>
                      <m:sty m:val="p"/>
                    </m:rPr>
                    <m:t>t</m:t>
                  </m:r>
                </m:sup>
              </m:sSubSup>
              <m:r>
                <m:rPr>
                  <m:sty m:val="p"/>
                </m:rPr>
                <m:t>⋅</m:t>
              </m:r>
              <m:sSubSup>
                <m:e>
                  <m:r>
                    <m:t>τ</m:t>
                  </m:r>
                </m:e>
                <m:sub>
                  <m:r>
                    <m:t>s</m:t>
                  </m:r>
                </m:sub>
                <m:sup>
                  <m:r>
                    <m:rPr>
                      <m:sty m:val="p"/>
                    </m:rPr>
                    <m:t>e</m:t>
                  </m:r>
                  <m:r>
                    <m:rPr>
                      <m:sty m:val="p"/>
                    </m:rPr>
                    <m:t>x</m:t>
                  </m:r>
                  <m:r>
                    <m:rPr>
                      <m:sty m:val="p"/>
                    </m:rPr>
                    <m:t>t</m:t>
                  </m:r>
                </m:sup>
              </m:sSubSup>
              <m:r>
                <m:t> </m:t>
              </m:r>
            </m:e>
          </m:d>
        </m:oMath>
      </m:oMathPara>
    </w:p>
    <w:p>
      <w:pPr>
        <w:pStyle w:val="FirstParagraph"/>
      </w:pPr>
      <w:r>
        <w:t xml:space="preserve">{#eq-tecp}</w:t>
      </w:r>
    </w:p>
    <w:p>
      <w:pPr>
        <w:pStyle w:val="BodyText"/>
      </w:pPr>
      <w:r>
        <w:t xml:space="preserve">Each fuel’s emissions</w:t>
      </w:r>
      <w:r>
        <w:t xml:space="preserve"> </w:t>
      </w:r>
      <m:oMath>
        <m:sSub>
          <m:e>
            <m:r>
              <m:t>E</m:t>
            </m:r>
          </m:e>
          <m:sub>
            <m:r>
              <m:t>f</m:t>
            </m:r>
            <m:r>
              <m:t>s</m:t>
            </m:r>
          </m:sub>
        </m:sSub>
      </m:oMath>
      <w:r>
        <w:t xml:space="preserve"> </w:t>
      </w:r>
      <w:r>
        <w:t xml:space="preserve">are multiplied by two terms. The first is an</w:t>
      </w:r>
      <w:r>
        <w:t xml:space="preserve"> </w:t>
      </w:r>
      <w:r>
        <w:t xml:space="preserve">intensive (fuel-switching) semi-elasticity</w:t>
      </w:r>
      <w:r>
        <w:t xml:space="preserve"> </w:t>
      </w:r>
      <m:oMath>
        <m:sSup>
          <m:e>
            <m:acc>
              <m:accPr>
                <m:chr m:val="̃"/>
              </m:accPr>
              <m:e>
                <m:r>
                  <m:t>ε</m:t>
                </m:r>
              </m:e>
            </m:acc>
          </m:e>
          <m:sup>
            <m:r>
              <m:t> </m:t>
            </m:r>
            <m:r>
              <m:rPr>
                <m:sty m:val="p"/>
              </m:rPr>
              <m:t>i</m:t>
            </m:r>
            <m:r>
              <m:rPr>
                <m:sty m:val="p"/>
              </m:rPr>
              <m:t>n</m:t>
            </m:r>
            <m:r>
              <m:rPr>
                <m:sty m:val="p"/>
              </m:rPr>
              <m:t>t</m:t>
            </m:r>
          </m:sup>
        </m:sSup>
      </m:oMath>
      <w:r>
        <w:t xml:space="preserve"> </w:t>
      </w:r>
      <w:r>
        <w:t xml:space="preserve">times the intensive component of the policy price. The second is an extensive</w:t>
      </w:r>
      <w:r>
        <w:t xml:space="preserve"> </w:t>
      </w:r>
      <w:r>
        <w:t xml:space="preserve">(demand-reduction) semi-elasticity</w:t>
      </w:r>
      <w:r>
        <w:t xml:space="preserve"> </w:t>
      </w:r>
      <m:oMath>
        <m:sSup>
          <m:e>
            <m:acc>
              <m:accPr>
                <m:chr m:val="̃"/>
              </m:accPr>
              <m:e>
                <m:r>
                  <m:t>ε</m:t>
                </m:r>
              </m:e>
            </m:acc>
          </m:e>
          <m:sup>
            <m:r>
              <m:t> </m:t>
            </m:r>
            <m:r>
              <m:rPr>
                <m:sty m:val="p"/>
              </m:rPr>
              <m:t>e</m:t>
            </m:r>
            <m:r>
              <m:rPr>
                <m:sty m:val="p"/>
              </m:rPr>
              <m:t>x</m:t>
            </m:r>
            <m:r>
              <m:rPr>
                <m:sty m:val="p"/>
              </m:rPr>
              <m:t>t</m:t>
            </m:r>
          </m:sup>
        </m:sSup>
      </m:oMath>
      <w:r>
        <w:t xml:space="preserve"> </w:t>
      </w:r>
      <w:r>
        <w:t xml:space="preserve">times the</w:t>
      </w:r>
      <w:r>
        <w:t xml:space="preserve"> </w:t>
      </w:r>
      <w:r>
        <w:t xml:space="preserve">extensive component.</w:t>
      </w:r>
      <w:r>
        <w:t xml:space="preserve"> </w:t>
      </w:r>
      <m:oMath>
        <m:r>
          <m:rPr>
            <m:sty m:val="p"/>
          </m:rPr>
          <m:t>Λ</m:t>
        </m:r>
      </m:oMath>
      <w:r>
        <w:t xml:space="preserve"> </w:t>
      </w:r>
      <w:r>
        <w:t xml:space="preserve">is a normalisation constant: what a $1/tCO</w:t>
      </w:r>
      <w:r>
        <w:rPr>
          <w:vertAlign w:val="subscript"/>
        </w:rPr>
        <w:t xml:space="preserve">2</w:t>
      </w:r>
      <w:r>
        <w:t xml:space="preserve"> </w:t>
      </w:r>
      <w:r>
        <w:t xml:space="preserve">uniform carbon tax would achieve in this economy.</w:t>
      </w:r>
    </w:p>
    <w:bookmarkEnd w:id="9"/>
    <w:bookmarkStart w:id="10" w:name="why-it-matters"/>
    <w:p>
      <w:pPr>
        <w:pStyle w:val="Heading2"/>
      </w:pPr>
      <w:r>
        <w:t xml:space="preserve">Why it matters</w:t>
      </w:r>
    </w:p>
    <w:p>
      <w:pPr>
        <w:pStyle w:val="Compact"/>
        <w:numPr>
          <w:ilvl w:val="0"/>
          <w:numId w:val="1001"/>
        </w:numPr>
      </w:pPr>
      <w:r>
        <w:t xml:space="preserve">Two countries can have identical nominal carbon prices and very different TECPs.</w:t>
      </w:r>
      <w:r>
        <w:t xml:space="preserve"> </w:t>
      </w:r>
      <w:r>
        <w:t xml:space="preserve">A country with few substitution alternatives but high demand elasticity will</w:t>
      </w:r>
      <w:r>
        <w:t xml:space="preserve"> </w:t>
      </w:r>
      <w:r>
        <w:t xml:space="preserve">price emissions effectively through the extensive margin. A country with abundant</w:t>
      </w:r>
      <w:r>
        <w:t xml:space="preserve"> </w:t>
      </w:r>
      <w:r>
        <w:t xml:space="preserve">substitutes but inelastic demand will price effectively through the intensive</w:t>
      </w:r>
      <w:r>
        <w:t xml:space="preserve"> </w:t>
      </w:r>
      <w:r>
        <w:t xml:space="preserve">margin.</w:t>
      </w:r>
    </w:p>
    <w:p>
      <w:pPr>
        <w:pStyle w:val="Compact"/>
        <w:numPr>
          <w:ilvl w:val="0"/>
          <w:numId w:val="1001"/>
        </w:numPr>
      </w:pPr>
      <w:r>
        <w:t xml:space="preserve">A country with no carbon tax at all can have a meaningful TECP if its feebates,</w:t>
      </w:r>
      <w:r>
        <w:t xml:space="preserve"> </w:t>
      </w:r>
      <w:r>
        <w:t xml:space="preserve">fuel duties, and clean fuel standards create sufficient price separation between</w:t>
      </w:r>
      <w:r>
        <w:t xml:space="preserve"> </w:t>
      </w:r>
      <w:r>
        <w:t xml:space="preserve">dirty and clean fuels.</w:t>
      </w:r>
    </w:p>
    <w:p>
      <w:pPr>
        <w:pStyle w:val="Compact"/>
        <w:numPr>
          <w:ilvl w:val="0"/>
          <w:numId w:val="1001"/>
        </w:numPr>
      </w:pPr>
      <w:r>
        <w:t xml:space="preserve">Existing metrics — the OECD’s Effective Carbon Rate, the IMF’s effective carbon</w:t>
      </w:r>
      <w:r>
        <w:t xml:space="preserve"> </w:t>
      </w:r>
      <w:r>
        <w:t xml:space="preserve">price — add up sticker prices. They cannot answer the question a finance minister</w:t>
      </w:r>
      <w:r>
        <w:t xml:space="preserve"> </w:t>
      </w:r>
      <w:r>
        <w:t xml:space="preserve">actually needs answered:</w:t>
      </w:r>
      <w:r>
        <w:t xml:space="preserve"> </w:t>
      </w:r>
      <w:r>
        <w:rPr>
          <w:i/>
          <w:iCs/>
        </w:rPr>
        <w:t xml:space="preserve">if I replaced my entire policy package with a single</w:t>
      </w:r>
      <w:r>
        <w:rPr>
          <w:i/>
          <w:iCs/>
        </w:rPr>
        <w:t xml:space="preserve"> </w:t>
      </w:r>
      <w:r>
        <w:rPr>
          <w:i/>
          <w:iCs/>
        </w:rPr>
        <w:t xml:space="preserve">uniform carbon tax, what rate would deliver the same emissions reduction?</w:t>
      </w:r>
    </w:p>
    <w:bookmarkEnd w:id="10"/>
    <w:bookmarkStart w:id="11" w:name="the-microeconomic-engine"/>
    <w:p>
      <w:pPr>
        <w:pStyle w:val="Heading2"/>
      </w:pPr>
      <w:r>
        <w:t xml:space="preserve">The microeconomic engine</w:t>
      </w:r>
    </w:p>
    <w:p>
      <w:pPr>
        <w:pStyle w:val="FirstParagraph"/>
      </w:pPr>
      <w:r>
        <w:t xml:space="preserve">The TECP requires a demand model. The model must do three things. It must handle</w:t>
      </w:r>
      <w:r>
        <w:t xml:space="preserve"> </w:t>
      </w:r>
      <w:r>
        <w:t xml:space="preserve">multiple fuels competing within a sector. It must distinguish using less energy</w:t>
      </w:r>
      <w:r>
        <w:t xml:space="preserve"> </w:t>
      </w:r>
      <w:r>
        <w:t xml:space="preserve">from switching to a different energy source. And it must handle the fact that</w:t>
      </w:r>
      <w:r>
        <w:t xml:space="preserve"> </w:t>
      </w:r>
      <w:r>
        <w:t xml:space="preserve">switching takes longer than conserving.</w:t>
      </w:r>
    </w:p>
    <w:p>
      <w:pPr>
        <w:pStyle w:val="BodyText"/>
      </w:pPr>
      <w:r>
        <w:t xml:space="preserve">A nested constant-elasticity-of-substitution (CES) structure does all three. Within</w:t>
      </w:r>
      <w:r>
        <w:t xml:space="preserve"> </w:t>
      </w:r>
      <w:r>
        <w:t xml:space="preserve">each sector, fuels substitute against each other with elasticity</w:t>
      </w:r>
      <w:r>
        <w:t xml:space="preserve"> </w:t>
      </w:r>
      <m:oMath>
        <m:r>
          <m:t>σ</m:t>
        </m:r>
      </m:oMath>
      <w:r>
        <w:t xml:space="preserve">. Across</w:t>
      </w:r>
      <w:r>
        <w:t xml:space="preserve"> </w:t>
      </w:r>
      <w:r>
        <w:t xml:space="preserve">sectors, total energy demand responds to the aggregate energy price with</w:t>
      </w:r>
      <w:r>
        <w:t xml:space="preserve"> </w:t>
      </w:r>
      <w:r>
        <w:t xml:space="preserve">elasticity</w:t>
      </w:r>
      <w:r>
        <w:t xml:space="preserve"> </w:t>
      </w:r>
      <m:oMath>
        <m:r>
          <m:t>η</m:t>
        </m:r>
      </m:oMath>
      <w:r>
        <w:t xml:space="preserve">. A partial adjustment mechanism with separate speeds for the two</w:t>
      </w:r>
      <w:r>
        <w:t xml:space="preserve"> </w:t>
      </w:r>
      <w:r>
        <w:t xml:space="preserve">margins captures the fact that conservation can be immediate while fuel switching</w:t>
      </w:r>
      <w:r>
        <w:t xml:space="preserve"> </w:t>
      </w:r>
      <w:r>
        <w:t xml:space="preserve">requires capital replacement.</w:t>
      </w:r>
    </w:p>
    <w:p>
      <w:pPr>
        <w:pStyle w:val="BodyText"/>
      </w:pPr>
      <w:r>
        <w:t xml:space="preserve">The CES is the right level of structure for this task. It is rich enough to</w:t>
      </w:r>
      <w:r>
        <w:t xml:space="preserve"> </w:t>
      </w:r>
      <w:r>
        <w:t xml:space="preserve">distinguish the two margins and to generate the elasticity matrix consistently</w:t>
      </w:r>
      <w:r>
        <w:t xml:space="preserve"> </w:t>
      </w:r>
      <w:r>
        <w:t xml:space="preserve">from a small number of parameters. It is simple enough to calibrate from published</w:t>
      </w:r>
      <w:r>
        <w:t xml:space="preserve"> </w:t>
      </w:r>
      <w:r>
        <w:t xml:space="preserve">estimates and to compute on a spreadsheet. Where it falls short — notably, it</w:t>
      </w:r>
      <w:r>
        <w:t xml:space="preserve"> </w:t>
      </w:r>
      <w:r>
        <w:t xml:space="preserve">imposes a constant substitution elasticity across the price range — the error is</w:t>
      </w:r>
      <w:r>
        <w:t xml:space="preserve"> </w:t>
      </w:r>
      <w:r>
        <w:t xml:space="preserve">small for the policy ranges of interest, and the framework can be extended to</w:t>
      </w:r>
      <w:r>
        <w:t xml:space="preserve"> </w:t>
      </w:r>
      <w:r>
        <w:t xml:space="preserve">higher nests if needed.</w:t>
      </w:r>
    </w:p>
    <w:p>
      <w:pPr>
        <w:pStyle w:val="BodyText"/>
      </w:pPr>
      <w:r>
        <w:t xml:space="preserve">{{&lt; pagebreak &gt;}}</w:t>
      </w:r>
    </w:p>
    <w:bookmarkEnd w:id="11"/>
    <w:bookmarkEnd w:id="12"/>
    <w:bookmarkStart w:id="13" w:name="part-i-the-total-effective-carbon-price"/>
    <w:p>
      <w:pPr>
        <w:pStyle w:val="Heading1"/>
      </w:pPr>
      <w:r>
        <w:t xml:space="preserve">Part I — The Total Effective Carbon Price</w:t>
      </w:r>
    </w:p>
    <w:bookmarkEnd w:id="13"/>
    <w:bookmarkStart w:id="16" w:name="motivation"/>
    <w:p>
      <w:pPr>
        <w:pStyle w:val="Heading1"/>
      </w:pPr>
      <w:r>
        <w:t xml:space="preserve">Motivation</w:t>
      </w:r>
    </w:p>
    <w:bookmarkStart w:id="14" w:name="the-problem-with-existing-metrics"/>
    <w:p>
      <w:pPr>
        <w:pStyle w:val="Heading2"/>
      </w:pPr>
      <w:r>
        <w:t xml:space="preserve">The problem with existing metrics</w:t>
      </w:r>
    </w:p>
    <w:p>
      <w:pPr>
        <w:pStyle w:val="FirstParagraph"/>
      </w:pPr>
      <w:r>
        <w:t xml:space="preserve">Climate policy is heterogeneous by design. A finance minister facing a binding</w:t>
      </w:r>
      <w:r>
        <w:t xml:space="preserve"> </w:t>
      </w:r>
      <w:r>
        <w:t xml:space="preserve">emissions target and an unhappy electorate does not choose a single instrument;</w:t>
      </w:r>
      <w:r>
        <w:t xml:space="preserve"> </w:t>
      </w:r>
      <w:r>
        <w:t xml:space="preserve">she chooses a package. The package may include a carbon tax on industry, a feebate</w:t>
      </w:r>
      <w:r>
        <w:t xml:space="preserve"> </w:t>
      </w:r>
      <w:r>
        <w:t xml:space="preserve">on vehicles, an emissions trading system covering power, a clean fuel standard for</w:t>
      </w:r>
      <w:r>
        <w:t xml:space="preserve"> </w:t>
      </w:r>
      <w:r>
        <w:t xml:space="preserve">transport, fuel excise duties, and possibly subsidies for renewable energy. Each</w:t>
      </w:r>
      <w:r>
        <w:t xml:space="preserve"> </w:t>
      </w:r>
      <w:r>
        <w:t xml:space="preserve">instrument has different distributional, political-economy, and competitiveness</w:t>
      </w:r>
      <w:r>
        <w:t xml:space="preserve"> </w:t>
      </w:r>
      <w:r>
        <w:t xml:space="preserve">implications. Each works through different channels. Comparing two countries’</w:t>
      </w:r>
      <w:r>
        <w:t xml:space="preserve"> </w:t>
      </w:r>
      <w:r>
        <w:t xml:space="preserve">climate policy ambition therefore requires comparing two packages, not two numbers.</w:t>
      </w:r>
    </w:p>
    <w:p>
      <w:pPr>
        <w:pStyle w:val="BodyText"/>
      </w:pPr>
      <w:r>
        <w:t xml:space="preserve">Existing metrics duck this problem. The OECD’s Effective Carbon Rate sums explicit</w:t>
      </w:r>
      <w:r>
        <w:t xml:space="preserve"> </w:t>
      </w:r>
      <w:r>
        <w:t xml:space="preserve">carbon prices, ETS prices, and fuel excise duties into a single nominal rate. The</w:t>
      </w:r>
      <w:r>
        <w:t xml:space="preserve"> </w:t>
      </w:r>
      <w:r>
        <w:t xml:space="preserve">IMF’s effective carbon price does much the same. Both are useful because they</w:t>
      </w:r>
      <w:r>
        <w:t xml:space="preserve"> </w:t>
      </w:r>
      <w:r>
        <w:t xml:space="preserve">aggregate visible price signals across instruments and across fuels. But they</w:t>
      </w:r>
      <w:r>
        <w:t xml:space="preserve"> </w:t>
      </w:r>
      <w:r>
        <w:t xml:space="preserve">aggregate by addition, weighted only by emissions — not by the responsiveness of</w:t>
      </w:r>
      <w:r>
        <w:t xml:space="preserve"> </w:t>
      </w:r>
      <w:r>
        <w:t xml:space="preserve">those emissions to each instrument. A dollar of fuel duty on diesel (where</w:t>
      </w:r>
      <w:r>
        <w:t xml:space="preserve"> </w:t>
      </w:r>
      <w:r>
        <w:t xml:space="preserve">alternatives are scarce in the short run) is treated identically to a dollar of</w:t>
      </w:r>
      <w:r>
        <w:t xml:space="preserve"> </w:t>
      </w:r>
      <w:r>
        <w:t xml:space="preserve">fuel duty on petrol (where switching is easier). A feebate — which contains no</w:t>
      </w:r>
      <w:r>
        <w:t xml:space="preserve"> </w:t>
      </w:r>
      <w:r>
        <w:t xml:space="preserve">explicit carbon price at all but creates a wedge between clean and dirty</w:t>
      </w:r>
      <w:r>
        <w:t xml:space="preserve"> </w:t>
      </w:r>
      <w:r>
        <w:t xml:space="preserve">alternatives — contributes zero. A clean fuel standard (which forces a switch</w:t>
      </w:r>
      <w:r>
        <w:t xml:space="preserve"> </w:t>
      </w:r>
      <w:r>
        <w:t xml:space="preserve">through a quantity instrument) contributes zero. This is the wrong answer.</w:t>
      </w:r>
    </w:p>
    <w:bookmarkEnd w:id="14"/>
    <w:bookmarkStart w:id="15" w:name="what-the-tecp-measures"/>
    <w:p>
      <w:pPr>
        <w:pStyle w:val="Heading2"/>
      </w:pPr>
      <w:r>
        <w:t xml:space="preserve">What the TECP measures</w:t>
      </w:r>
    </w:p>
    <w:p>
      <w:pPr>
        <w:pStyle w:val="FirstParagraph"/>
      </w:pPr>
      <w:r>
        <w:t xml:space="preserve">The TECP asks a different question:</w:t>
      </w:r>
      <w:r>
        <w:t xml:space="preserve"> </w:t>
      </w:r>
      <w:r>
        <w:rPr>
          <w:i/>
          <w:iCs/>
        </w:rPr>
        <w:t xml:space="preserve">what uniform carbon tax</w:t>
      </w:r>
      <w:r>
        <w:rPr>
          <w:i/>
          <w:iCs/>
        </w:rPr>
        <w:t xml:space="preserve"> </w:t>
      </w:r>
      <m:oMath>
        <m:sSup>
          <m:e>
            <m:r>
              <m:t>τ</m:t>
            </m:r>
          </m:e>
          <m:sup>
            <m:r>
              <m:rPr>
                <m:sty m:val="p"/>
              </m:rPr>
              <m:t>*</m:t>
            </m:r>
          </m:sup>
        </m:sSup>
      </m:oMath>
      <w:r>
        <w:rPr>
          <w:i/>
          <w:iCs/>
        </w:rPr>
        <w:t xml:space="preserve"> </w:t>
      </w:r>
      <w:r>
        <w:rPr>
          <w:i/>
          <w:iCs/>
        </w:rPr>
        <w:t xml:space="preserve">would deliver</w:t>
      </w:r>
      <w:r>
        <w:rPr>
          <w:i/>
          <w:iCs/>
        </w:rPr>
        <w:t xml:space="preserve"> </w:t>
      </w:r>
      <w:r>
        <w:rPr>
          <w:i/>
          <w:iCs/>
        </w:rPr>
        <w:t xml:space="preserve">the same total emissions reduction as the actual policy package?</w:t>
      </w:r>
      <w:r>
        <w:t xml:space="preserve"> </w:t>
      </w:r>
      <w:r>
        <w:t xml:space="preserve">The answer is a</w:t>
      </w:r>
      <w:r>
        <w:t xml:space="preserve"> </w:t>
      </w:r>
      <w:r>
        <w:t xml:space="preserve">single number, in $/tCO</w:t>
      </w:r>
      <w:r>
        <w:rPr>
          <w:vertAlign w:val="subscript"/>
        </w:rPr>
        <w:t xml:space="preserve">2</w:t>
      </w:r>
      <w:r>
        <w:t xml:space="preserve">, that makes any heterogeneous package comparable to any</w:t>
      </w:r>
      <w:r>
        <w:t xml:space="preserve"> </w:t>
      </w:r>
      <w:r>
        <w:t xml:space="preserve">other and to a hypothetical uniform tax. It admits feebates, fuel standards, and</w:t>
      </w:r>
      <w:r>
        <w:t xml:space="preserve"> </w:t>
      </w:r>
      <w:r>
        <w:t xml:space="preserve">renewable mandates on equal terms with explicit carbon prices, because the</w:t>
      </w:r>
      <w:r>
        <w:t xml:space="preserve"> </w:t>
      </w:r>
      <w:r>
        <w:t xml:space="preserve">comparison is in emissions reduced, not in price imposed.</w:t>
      </w:r>
    </w:p>
    <w:p>
      <w:pPr>
        <w:pStyle w:val="BodyText"/>
      </w:pPr>
      <w:r>
        <w:t xml:space="preserve">Critically, the TECP is decomposable. The same single number can be opened up to</w:t>
      </w:r>
      <w:r>
        <w:t xml:space="preserve"> </w:t>
      </w:r>
      <w:r>
        <w:t xml:space="preserve">show which margin is doing the work (intensive versus extensive) and which sector</w:t>
      </w:r>
      <w:r>
        <w:t xml:space="preserve"> </w:t>
      </w:r>
      <w:r>
        <w:t xml:space="preserve">is contributing what (transport, industry, power, buildings). This makes it</w:t>
      </w:r>
      <w:r>
        <w:t xml:space="preserve"> </w:t>
      </w:r>
      <w:r>
        <w:t xml:space="preserve">diagnostically useful, not just headline-useful.</w:t>
      </w:r>
    </w:p>
    <w:bookmarkEnd w:id="15"/>
    <w:bookmarkEnd w:id="16"/>
    <w:bookmarkStart w:id="18" w:name="notation-and-setup"/>
    <w:p>
      <w:pPr>
        <w:pStyle w:val="Heading1"/>
      </w:pPr>
      <w:r>
        <w:t xml:space="preserve">Notation and setup</w:t>
      </w:r>
    </w:p>
    <w:p>
      <w:pPr>
        <w:pStyle w:val="FirstParagraph"/>
      </w:pPr>
      <w:r>
        <w:t xml:space="preserve">The economy has sectors</w:t>
      </w:r>
      <w:r>
        <w:t xml:space="preserve"> </w:t>
      </w:r>
      <m:oMath>
        <m:r>
          <m:t>s</m:t>
        </m:r>
      </m:oMath>
      <w:r>
        <w:t xml:space="preserve"> </w:t>
      </w:r>
      <w:r>
        <w:t xml:space="preserve">and fuels</w:t>
      </w:r>
      <w:r>
        <w:t xml:space="preserve"> </w:t>
      </w:r>
      <m:oMath>
        <m:r>
          <m:t>f</m:t>
        </m:r>
      </m:oMath>
      <w:r>
        <w:t xml:space="preserve">. The key quantities are:</w:t>
      </w:r>
    </w:p>
    <w:p>
      <w:pPr>
        <w:pStyle w:val="Compact"/>
        <w:numPr>
          <w:ilvl w:val="0"/>
          <w:numId w:val="1002"/>
        </w:numPr>
      </w:pPr>
      <m:oMath>
        <m:sSub>
          <m:e>
            <m:r>
              <m:t>E</m:t>
            </m:r>
          </m:e>
          <m:sub>
            <m:r>
              <m:t>f</m:t>
            </m:r>
            <m:r>
              <m:t>s</m:t>
            </m:r>
          </m:sub>
        </m:sSub>
      </m:oMath>
      <w:r>
        <w:t xml:space="preserve">: baseline CO</w:t>
      </w:r>
      <w:r>
        <w:rPr>
          <w:vertAlign w:val="subscript"/>
        </w:rPr>
        <w:t xml:space="preserve">2</w:t>
      </w:r>
      <w:r>
        <w:t xml:space="preserve"> </w:t>
      </w:r>
      <w:r>
        <w:t xml:space="preserve">emissions from fuel</w:t>
      </w:r>
      <w:r>
        <w:t xml:space="preserve"> </w:t>
      </w:r>
      <m:oMath>
        <m:r>
          <m:t>f</m:t>
        </m:r>
      </m:oMath>
      <w:r>
        <w:t xml:space="preserve"> </w:t>
      </w:r>
      <w:r>
        <w:t xml:space="preserve">in sector</w:t>
      </w:r>
      <w:r>
        <w:t xml:space="preserve"> </w:t>
      </w:r>
      <m:oMath>
        <m:r>
          <m:t>s</m:t>
        </m:r>
      </m:oMath>
      <w:r>
        <w:t xml:space="preserve"> </w:t>
      </w:r>
      <w:r>
        <w:t xml:space="preserve">(tCO</w:t>
      </w:r>
      <w:r>
        <w:rPr>
          <w:vertAlign w:val="subscript"/>
        </w:rPr>
        <w:t xml:space="preserve">2</w:t>
      </w:r>
      <w:r>
        <w:t xml:space="preserve">).</w:t>
      </w:r>
    </w:p>
    <w:p>
      <w:pPr>
        <w:pStyle w:val="Compact"/>
        <w:numPr>
          <w:ilvl w:val="0"/>
          <w:numId w:val="1002"/>
        </w:numPr>
      </w:pPr>
      <m:oMath>
        <m:sSub>
          <m:e>
            <m:r>
              <m:t>p</m:t>
            </m:r>
          </m:e>
          <m:sub>
            <m:r>
              <m:t>f</m:t>
            </m:r>
            <m:r>
              <m:t>s</m:t>
            </m:r>
          </m:sub>
        </m:sSub>
      </m:oMath>
      <w:r>
        <w:t xml:space="preserve">: market price of fuel</w:t>
      </w:r>
      <w:r>
        <w:t xml:space="preserve"> </w:t>
      </w:r>
      <m:oMath>
        <m:r>
          <m:t>f</m:t>
        </m:r>
      </m:oMath>
      <w:r>
        <w:t xml:space="preserve"> </w:t>
      </w:r>
      <w:r>
        <w:t xml:space="preserve">delivered to sector</w:t>
      </w:r>
      <w:r>
        <w:t xml:space="preserve"> </w:t>
      </w:r>
      <m:oMath>
        <m:r>
          <m:t>s</m:t>
        </m:r>
      </m:oMath>
      <w:r>
        <w:t xml:space="preserve">, in $/PJ of final energy.</w:t>
      </w:r>
    </w:p>
    <w:p>
      <w:pPr>
        <w:pStyle w:val="Compact"/>
        <w:numPr>
          <w:ilvl w:val="0"/>
          <w:numId w:val="1002"/>
        </w:numPr>
      </w:pPr>
      <m:oMath>
        <m:sSub>
          <m:e>
            <m:r>
              <m:t>e</m:t>
            </m:r>
          </m:e>
          <m:sub>
            <m:r>
              <m:t>f</m:t>
            </m:r>
            <m:r>
              <m:t>s</m:t>
            </m:r>
          </m:sub>
        </m:sSub>
      </m:oMath>
      <w:r>
        <w:t xml:space="preserve">: emission factor for fuel</w:t>
      </w:r>
      <w:r>
        <w:t xml:space="preserve"> </w:t>
      </w:r>
      <m:oMath>
        <m:r>
          <m:t>f</m:t>
        </m:r>
      </m:oMath>
      <w:r>
        <w:t xml:space="preserve"> </w:t>
      </w:r>
      <w:r>
        <w:t xml:space="preserve">in sector</w:t>
      </w:r>
      <w:r>
        <w:t xml:space="preserve"> </w:t>
      </w:r>
      <m:oMath>
        <m:r>
          <m:t>s</m:t>
        </m:r>
      </m:oMath>
      <w:r>
        <w:t xml:space="preserve">, in tCO</w:t>
      </w:r>
      <w:r>
        <w:rPr>
          <w:vertAlign w:val="subscript"/>
        </w:rPr>
        <w:t xml:space="preserve">2</w:t>
      </w:r>
      <w:r>
        <w:t xml:space="preserve">/PJ.</w:t>
      </w:r>
    </w:p>
    <w:p>
      <w:pPr>
        <w:pStyle w:val="Compact"/>
        <w:numPr>
          <w:ilvl w:val="0"/>
          <w:numId w:val="1002"/>
        </w:numPr>
      </w:pPr>
      <m:oMath>
        <m:sSub>
          <m:e>
            <m:r>
              <m:t>φ</m:t>
            </m:r>
          </m:e>
          <m:sub>
            <m:r>
              <m:t>f</m:t>
            </m:r>
            <m:r>
              <m:t>s</m:t>
            </m:r>
          </m:sub>
        </m:sSub>
      </m:oMath>
      <w:r>
        <w:t xml:space="preserve">: technical efficiency — the share of input fuel energy that becomes useful service.</w:t>
      </w:r>
    </w:p>
    <w:p>
      <w:pPr>
        <w:pStyle w:val="Compact"/>
        <w:numPr>
          <w:ilvl w:val="0"/>
          <w:numId w:val="1002"/>
        </w:numPr>
      </w:pPr>
      <m:oMath>
        <m:sSub>
          <m:e>
            <m:r>
              <m:t>σ</m:t>
            </m:r>
          </m:e>
          <m:sub>
            <m:r>
              <m:t>s</m:t>
            </m:r>
          </m:sub>
        </m:sSub>
      </m:oMath>
      <w:r>
        <w:t xml:space="preserve">: within-sector elasticity of substitution among fuels.</w:t>
      </w:r>
    </w:p>
    <w:p>
      <w:pPr>
        <w:pStyle w:val="Compact"/>
        <w:numPr>
          <w:ilvl w:val="0"/>
          <w:numId w:val="1002"/>
        </w:numPr>
      </w:pPr>
      <m:oMath>
        <m:sSub>
          <m:e>
            <m:r>
              <m:t>η</m:t>
            </m:r>
          </m:e>
          <m:sub>
            <m:r>
              <m:t>s</m:t>
            </m:r>
          </m:sub>
        </m:sSub>
      </m:oMath>
      <w:r>
        <w:t xml:space="preserve">: own-price elasticity of aggregate service demand for sector</w:t>
      </w:r>
      <w:r>
        <w:t xml:space="preserve"> </w:t>
      </w:r>
      <m:oMath>
        <m:r>
          <m:t>s</m:t>
        </m:r>
      </m:oMath>
      <w:r>
        <w:t xml:space="preserve">.</w:t>
      </w:r>
    </w:p>
    <w:bookmarkStart w:id="17" w:name="technical-efficiency-varphi"/>
    <w:p>
      <w:pPr>
        <w:pStyle w:val="Heading2"/>
      </w:pPr>
      <w:r>
        <w:t xml:space="preserve">Technical efficiency</w:t>
      </w:r>
      <w:r>
        <w:t xml:space="preserve"> </w:t>
      </w:r>
      <m:oMath>
        <m:r>
          <m:t>φ</m:t>
        </m:r>
      </m:oMath>
    </w:p>
    <w:p>
      <w:pPr>
        <w:pStyle w:val="FirstParagraph"/>
      </w:pPr>
      <w:r>
        <w:t xml:space="preserve">The same physical unit of fuel does not deliver the same service. An electric</w:t>
      </w:r>
      <w:r>
        <w:t xml:space="preserve"> </w:t>
      </w:r>
      <w:r>
        <w:t xml:space="preserve">motor converts roughly 85% of input electricity into mechanical work; an internal</w:t>
      </w:r>
      <w:r>
        <w:t xml:space="preserve"> </w:t>
      </w:r>
      <w:r>
        <w:t xml:space="preserve">combustion engine roughly 25%; a gas-fired condensing boiler roughly 90%; a CCGT</w:t>
      </w:r>
      <w:r>
        <w:t xml:space="preserve"> </w:t>
      </w:r>
      <w:r>
        <w:t xml:space="preserve">power plant roughly 50%. The CES operates over</w:t>
      </w:r>
      <w:r>
        <w:t xml:space="preserve"> </w:t>
      </w:r>
      <w:r>
        <w:rPr>
          <w:i/>
          <w:iCs/>
        </w:rPr>
        <w:t xml:space="preserve">useful service</w:t>
      </w:r>
      <w:r>
        <w:t xml:space="preserve">, not over input</w:t>
      </w:r>
      <w:r>
        <w:t xml:space="preserve"> </w:t>
      </w:r>
      <w:r>
        <w:t xml:space="preserve">energy. The framework therefore tracks effective prices</w:t>
      </w:r>
      <w:r>
        <w:t xml:space="preserve"> </w:t>
      </w:r>
      <m:oMath>
        <m:acc>
          <m:accPr>
            <m:chr m:val="̃"/>
          </m:accPr>
          <m:e>
            <m:r>
              <m:t>p</m:t>
            </m:r>
          </m:e>
        </m:acc>
        <m:r>
          <m:rPr>
            <m:sty m:val="p"/>
          </m:rPr>
          <m:t>=</m:t>
        </m:r>
        <m:r>
          <m:t>p</m:t>
        </m:r>
        <m:r>
          <m:rPr>
            <m:sty m:val="p"/>
          </m:rPr>
          <m:t>/</m:t>
        </m:r>
        <m:r>
          <m:t>φ</m:t>
        </m:r>
      </m:oMath>
      <w:r>
        <w:t xml:space="preserve"> </w:t>
      </w:r>
      <w:r>
        <w:t xml:space="preserve">and</w:t>
      </w:r>
      <w:r>
        <w:t xml:space="preserve"> </w:t>
      </w:r>
      <w:r>
        <w:t xml:space="preserve">effective emission factors</w:t>
      </w:r>
      <w:r>
        <w:t xml:space="preserve"> </w:t>
      </w:r>
      <m:oMath>
        <m:acc>
          <m:accPr>
            <m:chr m:val="̃"/>
          </m:accPr>
          <m:e>
            <m:r>
              <m:t>e</m:t>
            </m:r>
          </m:e>
        </m:acc>
        <m:r>
          <m:rPr>
            <m:sty m:val="p"/>
          </m:rPr>
          <m:t>=</m:t>
        </m:r>
        <m:r>
          <m:t>e</m:t>
        </m:r>
        <m:r>
          <m:rPr>
            <m:sty m:val="p"/>
          </m:rPr>
          <m:t>/</m:t>
        </m:r>
        <m:r>
          <m:t>φ</m:t>
        </m:r>
      </m:oMath>
      <w:r>
        <w:t xml:space="preserve">. This is what makes</w:t>
      </w:r>
      <w:r>
        <w:t xml:space="preserve"> </w:t>
      </w:r>
      <w:r>
        <w:t xml:space="preserve">electrification look like substitution rather than expansion: a kilowatt-hour of</w:t>
      </w:r>
      <w:r>
        <w:t xml:space="preserve"> </w:t>
      </w:r>
      <w:r>
        <w:t xml:space="preserve">electricity used in a vehicle delivers more service than a kilowatt-hour of petrol,</w:t>
      </w:r>
      <w:r>
        <w:t xml:space="preserve"> </w:t>
      </w:r>
      <w:r>
        <w:t xml:space="preserve">and the model sees that.</w:t>
      </w:r>
    </w:p>
    <w:bookmarkEnd w:id="17"/>
    <w:bookmarkEnd w:id="18"/>
    <w:bookmarkStart w:id="21" w:name="Xf047cda13db5647ce4b53ba71b24b9be74f5254"/>
    <w:p>
      <w:pPr>
        <w:pStyle w:val="Heading1"/>
      </w:pPr>
      <w:r>
        <w:t xml:space="preserve">Semi-elasticities and policy decomposition</w:t>
      </w:r>
    </w:p>
    <w:bookmarkStart w:id="19" w:name="from-ces-to-semi-elasticities"/>
    <w:p>
      <w:pPr>
        <w:pStyle w:val="Heading2"/>
      </w:pPr>
      <w:r>
        <w:t xml:space="preserve">From CES to semi-elasticities</w:t>
      </w:r>
    </w:p>
    <w:p>
      <w:pPr>
        <w:pStyle w:val="FirstParagraph"/>
      </w:pPr>
      <w:r>
        <w:t xml:space="preserve">The CES (developed in detail in Part II) generates an elasticity matrix from</w:t>
      </w:r>
      <w:r>
        <w:t xml:space="preserve"> </w:t>
      </w:r>
      <m:oMath>
        <m:r>
          <m:t>σ</m:t>
        </m:r>
      </m:oMath>
      <w:r>
        <w:t xml:space="preserve"> </w:t>
      </w:r>
      <w:r>
        <w:t xml:space="preserve">and the service shares</w:t>
      </w:r>
      <w:r>
        <w:t xml:space="preserve"> </w:t>
      </w:r>
      <m:oMath>
        <m:acc>
          <m:accPr>
            <m:chr m:val="̂"/>
          </m:accPr>
          <m:e>
            <m:r>
              <m:t>w</m:t>
            </m:r>
          </m:e>
        </m:acc>
      </m:oMath>
      <w:r>
        <w:t xml:space="preserve">. For fuel</w:t>
      </w:r>
      <w:r>
        <w:t xml:space="preserve"> </w:t>
      </w:r>
      <m:oMath>
        <m:r>
          <m:t>f</m:t>
        </m:r>
      </m:oMath>
      <w:r>
        <w:t xml:space="preserve"> </w:t>
      </w:r>
      <w:r>
        <w:t xml:space="preserve">in sector</w:t>
      </w:r>
      <w:r>
        <w:t xml:space="preserve"> </w:t>
      </w:r>
      <m:oMath>
        <m:r>
          <m:t>s</m:t>
        </m:r>
      </m:oMath>
      <w:r>
        <w:t xml:space="preserve">:</w:t>
      </w:r>
    </w:p>
    <w:p>
      <w:pPr>
        <w:pStyle w:val="BodyText"/>
      </w:pPr>
      <m:oMathPara>
        <m:oMathParaPr>
          <m:jc m:val="center"/>
        </m:oMathParaPr>
        <m:oMath>
          <m:sSubSup>
            <m:e>
              <m:r>
                <m:t>ε</m:t>
              </m:r>
            </m:e>
            <m:sub>
              <m:r>
                <m:t>f</m:t>
              </m:r>
              <m:r>
                <m:t>s</m:t>
              </m:r>
            </m:sub>
            <m:sup>
              <m:r>
                <m:rPr>
                  <m:sty m:val="p"/>
                </m:rPr>
                <m:t>i</m:t>
              </m:r>
              <m:r>
                <m:rPr>
                  <m:sty m:val="p"/>
                </m:rPr>
                <m:t>n</m:t>
              </m:r>
              <m:r>
                <m:rPr>
                  <m:sty m:val="p"/>
                </m:rPr>
                <m:t>t</m:t>
              </m:r>
            </m:sup>
          </m:sSubSup>
          <m:r>
            <m:rPr>
              <m:sty m:val="p"/>
            </m:rPr>
            <m:t>=</m:t>
          </m:r>
          <m:r>
            <m:rPr>
              <m:sty m:val="p"/>
            </m:rPr>
            <m:t>−</m:t>
          </m:r>
          <m:sSub>
            <m:e>
              <m:r>
                <m:t>σ</m:t>
              </m:r>
            </m:e>
            <m:sub>
              <m:r>
                <m:t>s</m:t>
              </m:r>
            </m:sub>
          </m:sSub>
          <m:r>
            <m:t> </m:t>
          </m:r>
          <m:r>
            <m:rPr>
              <m:sty m:val="p"/>
            </m:rPr>
            <m:t>(</m:t>
          </m:r>
          <m:r>
            <m:t>1</m:t>
          </m:r>
          <m:r>
            <m:rPr>
              <m:sty m:val="p"/>
            </m:rPr>
            <m:t>−</m:t>
          </m:r>
          <m:sSub>
            <m:e>
              <m:acc>
                <m:accPr>
                  <m:chr m:val="̂"/>
                </m:accPr>
                <m:e>
                  <m:r>
                    <m:t>w</m:t>
                  </m:r>
                </m:e>
              </m:acc>
            </m:e>
            <m:sub>
              <m:r>
                <m:t>f</m:t>
              </m:r>
              <m:r>
                <m:t>s</m:t>
              </m:r>
            </m:sub>
          </m:sSub>
          <m:r>
            <m:rPr>
              <m:sty m:val="p"/>
            </m:rPr>
            <m:t>)</m:t>
          </m:r>
          <m:r>
            <m:rPr>
              <m:sty m:val="p"/>
            </m:rPr>
            <m:t>,</m:t>
          </m:r>
          <m:r>
            <m:t>  </m:t>
          </m:r>
          <m:sSubSup>
            <m:e>
              <m:r>
                <m:t>ε</m:t>
              </m:r>
            </m:e>
            <m:sub>
              <m:r>
                <m:t>s</m:t>
              </m:r>
            </m:sub>
            <m:sup>
              <m:r>
                <m:rPr>
                  <m:sty m:val="p"/>
                </m:rPr>
                <m:t>e</m:t>
              </m:r>
              <m:r>
                <m:rPr>
                  <m:sty m:val="p"/>
                </m:rPr>
                <m:t>x</m:t>
              </m:r>
              <m:r>
                <m:rPr>
                  <m:sty m:val="p"/>
                </m:rPr>
                <m:t>t</m:t>
              </m:r>
            </m:sup>
          </m:sSubSup>
          <m:r>
            <m:rPr>
              <m:sty m:val="p"/>
            </m:rPr>
            <m:t>=</m:t>
          </m:r>
          <m:r>
            <m:rPr>
              <m:sty m:val="p"/>
            </m:rPr>
            <m:t>−</m:t>
          </m:r>
          <m:sSub>
            <m:e>
              <m:r>
                <m:t>η</m:t>
              </m:r>
            </m:e>
            <m:sub>
              <m:r>
                <m:t>s</m:t>
              </m:r>
            </m:sub>
          </m:sSub>
        </m:oMath>
      </m:oMathPara>
    </w:p>
    <w:p>
      <w:pPr>
        <w:pStyle w:val="FirstParagraph"/>
      </w:pPr>
      <w:r>
        <w:t xml:space="preserve">{#eq-ces-isoelastic}</w:t>
      </w:r>
    </w:p>
    <w:p>
      <w:pPr>
        <w:pStyle w:val="BodyText"/>
      </w:pPr>
      <w:r>
        <w:t xml:space="preserve">The intensive elasticity is the within-sector substitution effect: a higher price</w:t>
      </w:r>
      <w:r>
        <w:t xml:space="preserve"> </w:t>
      </w:r>
      <w:r>
        <w:t xml:space="preserve">for fuel</w:t>
      </w:r>
      <w:r>
        <w:t xml:space="preserve"> </w:t>
      </w:r>
      <m:oMath>
        <m:r>
          <m:t>f</m:t>
        </m:r>
      </m:oMath>
      <w:r>
        <w:t xml:space="preserve"> </w:t>
      </w:r>
      <w:r>
        <w:t xml:space="preserve">moves the mix away from</w:t>
      </w:r>
      <w:r>
        <w:t xml:space="preserve"> </w:t>
      </w:r>
      <m:oMath>
        <m:r>
          <m:t>f</m:t>
        </m:r>
      </m:oMath>
      <w:r>
        <w:t xml:space="preserve">, scaled by how dominant</w:t>
      </w:r>
      <w:r>
        <w:t xml:space="preserve"> </w:t>
      </w:r>
      <m:oMath>
        <m:r>
          <m:t>f</m:t>
        </m:r>
      </m:oMath>
      <w:r>
        <w:t xml:space="preserve"> </w:t>
      </w:r>
      <w:r>
        <w:t xml:space="preserve">is in the</w:t>
      </w:r>
      <w:r>
        <w:t xml:space="preserve"> </w:t>
      </w:r>
      <w:r>
        <w:t xml:space="preserve">current mix. The extensive elasticity is the cross-sectoral demand response: a</w:t>
      </w:r>
      <w:r>
        <w:t xml:space="preserve"> </w:t>
      </w:r>
      <w:r>
        <w:t xml:space="preserve">higher aggregate energy price moves total service demand down. Both are isoelastic;</w:t>
      </w:r>
      <w:r>
        <w:t xml:space="preserve"> </w:t>
      </w:r>
      <w:r>
        <w:t xml:space="preserve">to use them in a TECP formula we convert to</w:t>
      </w:r>
      <w:r>
        <w:t xml:space="preserve"> </w:t>
      </w:r>
      <w:r>
        <w:rPr>
          <w:b/>
          <w:bCs/>
        </w:rPr>
        <w:t xml:space="preserve">semi-elasticities</w:t>
      </w:r>
      <w:r>
        <w:t xml:space="preserve"> </w:t>
      </w:r>
      <w:r>
        <w:t xml:space="preserve">by dividing by</w:t>
      </w:r>
      <w:r>
        <w:t xml:space="preserve"> </w:t>
      </w:r>
      <w:r>
        <w:t xml:space="preserve">the price level</w:t>
      </w:r>
      <w:r>
        <w:t xml:space="preserve"> </w:t>
      </w:r>
      <m:oMath>
        <m:sSub>
          <m:e>
            <m:acc>
              <m:accPr>
                <m:chr m:val="̃"/>
              </m:accPr>
              <m:e>
                <m:r>
                  <m:t>p</m:t>
                </m:r>
              </m:e>
            </m:acc>
          </m:e>
          <m:sub>
            <m:r>
              <m:t>f</m:t>
            </m:r>
            <m:r>
              <m:t>s</m:t>
            </m:r>
          </m:sub>
        </m:sSub>
        <m:r>
          <m:rPr>
            <m:sty m:val="p"/>
          </m:rPr>
          <m:t>=</m:t>
        </m:r>
        <m:sSub>
          <m:e>
            <m:r>
              <m:t>p</m:t>
            </m:r>
          </m:e>
          <m:sub>
            <m:r>
              <m:t>f</m:t>
            </m:r>
            <m:r>
              <m:t>s</m:t>
            </m:r>
          </m:sub>
        </m:sSub>
        <m:r>
          <m:rPr>
            <m:sty m:val="p"/>
          </m:rPr>
          <m:t>/</m:t>
        </m:r>
        <m:sSub>
          <m:e>
            <m:r>
              <m:t>φ</m:t>
            </m:r>
          </m:e>
          <m:sub>
            <m:r>
              <m:t>f</m:t>
            </m:r>
            <m:r>
              <m:t>s</m:t>
            </m:r>
          </m:sub>
        </m:sSub>
      </m:oMath>
      <w:r>
        <w:t xml:space="preserve">:</w:t>
      </w:r>
    </w:p>
    <w:p>
      <w:pPr>
        <w:pStyle w:val="BodyText"/>
      </w:pPr>
      <m:oMathPara>
        <m:oMathParaPr>
          <m:jc m:val="center"/>
        </m:oMathParaPr>
        <m:oMath>
          <m:sSubSup>
            <m:e>
              <m:acc>
                <m:accPr>
                  <m:chr m:val="̃"/>
                </m:accPr>
                <m:e>
                  <m:r>
                    <m:t>ε</m:t>
                  </m:r>
                </m:e>
              </m:acc>
            </m:e>
            <m:sub>
              <m:r>
                <m:t>f</m:t>
              </m:r>
              <m:r>
                <m:t>s</m:t>
              </m:r>
            </m:sub>
            <m:sup>
              <m:r>
                <m:t> </m:t>
              </m:r>
              <m:r>
                <m:rPr>
                  <m:sty m:val="p"/>
                </m:rPr>
                <m:t>i</m:t>
              </m:r>
              <m:r>
                <m:rPr>
                  <m:sty m:val="p"/>
                </m:rPr>
                <m:t>n</m:t>
              </m:r>
              <m:r>
                <m:rPr>
                  <m:sty m:val="p"/>
                </m:rPr>
                <m:t>t</m:t>
              </m:r>
            </m:sup>
          </m:sSubSup>
          <m:r>
            <m:rPr>
              <m:sty m:val="p"/>
            </m:rPr>
            <m:t>=</m:t>
          </m:r>
          <m:sSubSup>
            <m:e>
              <m:r>
                <m:t>ε</m:t>
              </m:r>
            </m:e>
            <m:sub>
              <m:r>
                <m:t>f</m:t>
              </m:r>
              <m:r>
                <m:t>s</m:t>
              </m:r>
            </m:sub>
            <m:sup>
              <m:r>
                <m:rPr>
                  <m:sty m:val="p"/>
                </m:rPr>
                <m:t>i</m:t>
              </m:r>
              <m:r>
                <m:rPr>
                  <m:sty m:val="p"/>
                </m:rPr>
                <m:t>n</m:t>
              </m:r>
              <m:r>
                <m:rPr>
                  <m:sty m:val="p"/>
                </m:rPr>
                <m:t>t</m:t>
              </m:r>
            </m:sup>
          </m:sSubSup>
          <m:r>
            <m:t> </m:t>
          </m:r>
          <m:r>
            <m:rPr>
              <m:sty m:val="p"/>
            </m:rPr>
            <m:t>/</m:t>
          </m:r>
          <m:r>
            <m:t> </m:t>
          </m:r>
          <m:sSub>
            <m:e>
              <m:acc>
                <m:accPr>
                  <m:chr m:val="̃"/>
                </m:accPr>
                <m:e>
                  <m:r>
                    <m:t>p</m:t>
                  </m:r>
                </m:e>
              </m:acc>
            </m:e>
            <m:sub>
              <m:r>
                <m:t>f</m:t>
              </m:r>
              <m:r>
                <m:t>s</m:t>
              </m:r>
            </m:sub>
          </m:sSub>
          <m:r>
            <m:rPr>
              <m:sty m:val="p"/>
            </m:rPr>
            <m:t>,</m:t>
          </m:r>
          <m:r>
            <m:t>  </m:t>
          </m:r>
          <m:sSubSup>
            <m:e>
              <m:acc>
                <m:accPr>
                  <m:chr m:val="̃"/>
                </m:accPr>
                <m:e>
                  <m:r>
                    <m:t>ε</m:t>
                  </m:r>
                </m:e>
              </m:acc>
            </m:e>
            <m:sub>
              <m:r>
                <m:t>s</m:t>
              </m:r>
            </m:sub>
            <m:sup>
              <m:r>
                <m:t> </m:t>
              </m:r>
              <m:r>
                <m:rPr>
                  <m:sty m:val="p"/>
                </m:rPr>
                <m:t>e</m:t>
              </m:r>
              <m:r>
                <m:rPr>
                  <m:sty m:val="p"/>
                </m:rPr>
                <m:t>x</m:t>
              </m:r>
              <m:r>
                <m:rPr>
                  <m:sty m:val="p"/>
                </m:rPr>
                <m:t>t</m:t>
              </m:r>
            </m:sup>
          </m:sSubSup>
          <m:r>
            <m:rPr>
              <m:sty m:val="p"/>
            </m:rPr>
            <m:t>=</m:t>
          </m:r>
          <m:sSubSup>
            <m:e>
              <m:r>
                <m:t>ε</m:t>
              </m:r>
            </m:e>
            <m:sub>
              <m:r>
                <m:t>s</m:t>
              </m:r>
            </m:sub>
            <m:sup>
              <m:r>
                <m:rPr>
                  <m:sty m:val="p"/>
                </m:rPr>
                <m:t>e</m:t>
              </m:r>
              <m:r>
                <m:rPr>
                  <m:sty m:val="p"/>
                </m:rPr>
                <m:t>x</m:t>
              </m:r>
              <m:r>
                <m:rPr>
                  <m:sty m:val="p"/>
                </m:rPr>
                <m:t>t</m:t>
              </m:r>
            </m:sup>
          </m:sSubSup>
          <m:r>
            <m:t> </m:t>
          </m:r>
          <m:r>
            <m:rPr>
              <m:sty m:val="p"/>
            </m:rPr>
            <m:t>/</m:t>
          </m:r>
          <m:r>
            <m:t> </m:t>
          </m:r>
          <m:sSub>
            <m:e>
              <m:acc>
                <m:accPr>
                  <m:chr m:val="̃"/>
                </m:accPr>
                <m:e>
                  <m:r>
                    <m:t>p</m:t>
                  </m:r>
                </m:e>
              </m:acc>
            </m:e>
            <m:sub>
              <m:r>
                <m:t>s</m:t>
              </m:r>
            </m:sub>
          </m:sSub>
        </m:oMath>
      </m:oMathPara>
    </w:p>
    <w:p>
      <w:pPr>
        <w:pStyle w:val="FirstParagraph"/>
      </w:pPr>
      <w:r>
        <w:t xml:space="preserve">{#eq-semi-elasticities}</w:t>
      </w:r>
    </w:p>
    <w:p>
      <w:pPr>
        <w:pStyle w:val="BodyText"/>
      </w:pPr>
      <w:r>
        <w:t xml:space="preserve">Semi-elasticities tell us the absolute change in quantity per dollar change in</w:t>
      </w:r>
      <w:r>
        <w:t xml:space="preserve"> </w:t>
      </w:r>
      <w:r>
        <w:t xml:space="preserve">price, rather than the percentage change per percentage change. They are the</w:t>
      </w:r>
      <w:r>
        <w:t xml:space="preserve"> </w:t>
      </w:r>
      <w:r>
        <w:t xml:space="preserve">natural objects for combining with policy prices stated in $/tCO</w:t>
      </w:r>
      <w:r>
        <w:rPr>
          <w:vertAlign w:val="subscript"/>
        </w:rPr>
        <w:t xml:space="preserve">2</w:t>
      </w:r>
      <w:r>
        <w:t xml:space="preserve">.</w:t>
      </w:r>
    </w:p>
    <w:bookmarkEnd w:id="19"/>
    <w:bookmarkStart w:id="20" w:name="decomposing-the-policy-price"/>
    <w:p>
      <w:pPr>
        <w:pStyle w:val="Heading2"/>
      </w:pPr>
      <w:r>
        <w:t xml:space="preserve">Decomposing the policy price</w:t>
      </w:r>
    </w:p>
    <w:p>
      <w:pPr>
        <w:pStyle w:val="FirstParagraph"/>
      </w:pPr>
      <w:r>
        <w:t xml:space="preserve">Every policy instrument creates two kinds of price signals. It raises the cost of</w:t>
      </w:r>
      <w:r>
        <w:t xml:space="preserve"> </w:t>
      </w:r>
      <w:r>
        <w:t xml:space="preserve">using a particular fuel (intensive signal:</w:t>
      </w:r>
      <w:r>
        <w:t xml:space="preserve"> </w:t>
      </w:r>
      <m:oMath>
        <m:sSup>
          <m:e>
            <m:r>
              <m:t>τ</m:t>
            </m:r>
          </m:e>
          <m:sup>
            <m:r>
              <m:rPr>
                <m:sty m:val="p"/>
              </m:rPr>
              <m:t>i</m:t>
            </m:r>
            <m:r>
              <m:rPr>
                <m:sty m:val="p"/>
              </m:rPr>
              <m:t>n</m:t>
            </m:r>
            <m:r>
              <m:rPr>
                <m:sty m:val="p"/>
              </m:rPr>
              <m:t>t</m:t>
            </m:r>
          </m:sup>
        </m:sSup>
      </m:oMath>
      <w:r>
        <w:t xml:space="preserve">). And it raises the</w:t>
      </w:r>
      <w:r>
        <w:t xml:space="preserve"> </w:t>
      </w:r>
      <w:r>
        <w:t xml:space="preserve">average cost of energy services, which reduces total service demand (extensive</w:t>
      </w:r>
      <w:r>
        <w:t xml:space="preserve"> </w:t>
      </w:r>
      <w:r>
        <w:t xml:space="preserve">signal:</w:t>
      </w:r>
      <w:r>
        <w:t xml:space="preserve"> </w:t>
      </w:r>
      <m:oMath>
        <m:sSup>
          <m:e>
            <m:r>
              <m:t>τ</m:t>
            </m:r>
          </m:e>
          <m:sup>
            <m:r>
              <m:rPr>
                <m:sty m:val="p"/>
              </m:rPr>
              <m:t>e</m:t>
            </m:r>
            <m:r>
              <m:rPr>
                <m:sty m:val="p"/>
              </m:rPr>
              <m:t>x</m:t>
            </m:r>
            <m:r>
              <m:rPr>
                <m:sty m:val="p"/>
              </m:rPr>
              <m:t>t</m:t>
            </m:r>
          </m:sup>
        </m:sSup>
      </m:oMath>
      <w:r>
        <w:t xml:space="preserve">). For most instruments these two signals are bundled.</w:t>
      </w:r>
    </w:p>
    <w:p>
      <w:pPr>
        <w:pStyle w:val="BodyText"/>
      </w:pPr>
      <w:r>
        <w:t xml:space="preserve">To take the cases that matter:</w:t>
      </w:r>
    </w:p>
    <w:p>
      <w:pPr>
        <w:pStyle w:val="Compact"/>
        <w:numPr>
          <w:ilvl w:val="0"/>
          <w:numId w:val="1003"/>
        </w:numPr>
      </w:pPr>
      <w:r>
        <w:t xml:space="preserve">A</w:t>
      </w:r>
      <w:r>
        <w:t xml:space="preserve"> </w:t>
      </w:r>
      <w:r>
        <w:rPr>
          <w:b/>
          <w:bCs/>
        </w:rPr>
        <w:t xml:space="preserve">uniform carbon tax</w:t>
      </w:r>
      <w:r>
        <w:t xml:space="preserve"> </w:t>
      </w:r>
      <m:oMath>
        <m:r>
          <m:t>τ</m:t>
        </m:r>
      </m:oMath>
      <w:r>
        <w:t xml:space="preserve"> </w:t>
      </w:r>
      <w:r>
        <w:t xml:space="preserve">at $X/tCO</w:t>
      </w:r>
      <w:r>
        <w:rPr>
          <w:vertAlign w:val="subscript"/>
        </w:rPr>
        <w:t xml:space="preserve">2</w:t>
      </w:r>
      <w:r>
        <w:t xml:space="preserve"> </w:t>
      </w:r>
      <w:r>
        <w:t xml:space="preserve">produces</w:t>
      </w:r>
      <w:r>
        <w:t xml:space="preserve"> </w:t>
      </w:r>
      <m:oMath>
        <m:sSubSup>
          <m:e>
            <m:r>
              <m:t>τ</m:t>
            </m:r>
          </m:e>
          <m:sub>
            <m:r>
              <m:t>f</m:t>
            </m:r>
            <m:r>
              <m:t>s</m:t>
            </m:r>
          </m:sub>
          <m:sup>
            <m:r>
              <m:rPr>
                <m:sty m:val="p"/>
              </m:rPr>
              <m:t>i</m:t>
            </m:r>
            <m:r>
              <m:rPr>
                <m:sty m:val="p"/>
              </m:rPr>
              <m:t>n</m:t>
            </m:r>
            <m:r>
              <m:rPr>
                <m:sty m:val="p"/>
              </m:rPr>
              <m:t>t</m:t>
            </m:r>
          </m:sup>
        </m:sSubSup>
        <m:r>
          <m:rPr>
            <m:sty m:val="p"/>
          </m:rPr>
          <m:t>=</m:t>
        </m:r>
        <m:r>
          <m:t>X</m:t>
        </m:r>
        <m:r>
          <m:rPr>
            <m:sty m:val="p"/>
          </m:rPr>
          <m:t>⋅</m:t>
        </m:r>
        <m:r>
          <m:rPr>
            <m:sty m:val="p"/>
          </m:rPr>
          <m:t>(</m:t>
        </m:r>
        <m:sSub>
          <m:e>
            <m:r>
              <m:t>e</m:t>
            </m:r>
          </m:e>
          <m:sub>
            <m:r>
              <m:t>f</m:t>
            </m:r>
            <m:r>
              <m:t>s</m:t>
            </m:r>
          </m:sub>
        </m:sSub>
        <m:r>
          <m:rPr>
            <m:sty m:val="p"/>
          </m:rPr>
          <m:t>−</m:t>
        </m:r>
        <m:sSub>
          <m:e>
            <m:acc>
              <m:accPr>
                <m:chr m:val="‾"/>
              </m:accPr>
              <m:e>
                <m:r>
                  <m:t>e</m:t>
                </m:r>
              </m:e>
            </m:acc>
          </m:e>
          <m:sub>
            <m:r>
              <m:t>s</m:t>
            </m:r>
          </m:sub>
        </m:sSub>
        <m:r>
          <m:rPr>
            <m:sty m:val="p"/>
          </m:rPr>
          <m:t>)</m:t>
        </m:r>
      </m:oMath>
      <w:r>
        <w:t xml:space="preserve"> </w:t>
      </w:r>
      <w:r>
        <w:t xml:space="preserve">and</w:t>
      </w:r>
      <w:r>
        <w:t xml:space="preserve"> </w:t>
      </w:r>
      <m:oMath>
        <m:sSubSup>
          <m:e>
            <m:r>
              <m:t>τ</m:t>
            </m:r>
          </m:e>
          <m:sub>
            <m:r>
              <m:t>s</m:t>
            </m:r>
          </m:sub>
          <m:sup>
            <m:r>
              <m:rPr>
                <m:sty m:val="p"/>
              </m:rPr>
              <m:t>e</m:t>
            </m:r>
            <m:r>
              <m:rPr>
                <m:sty m:val="p"/>
              </m:rPr>
              <m:t>x</m:t>
            </m:r>
            <m:r>
              <m:rPr>
                <m:sty m:val="p"/>
              </m:rPr>
              <m:t>t</m:t>
            </m:r>
          </m:sup>
        </m:sSubSup>
        <m:r>
          <m:rPr>
            <m:sty m:val="p"/>
          </m:rPr>
          <m:t>=</m:t>
        </m:r>
        <m:r>
          <m:t>X</m:t>
        </m:r>
        <m:r>
          <m:rPr>
            <m:sty m:val="p"/>
          </m:rPr>
          <m:t>⋅</m:t>
        </m:r>
        <m:sSub>
          <m:e>
            <m:acc>
              <m:accPr>
                <m:chr m:val="‾"/>
              </m:accPr>
              <m:e>
                <m:r>
                  <m:t>e</m:t>
                </m:r>
              </m:e>
            </m:acc>
          </m:e>
          <m:sub>
            <m:r>
              <m:t>s</m:t>
            </m:r>
          </m:sub>
        </m:sSub>
      </m:oMath>
      <w:r>
        <w:t xml:space="preserve">, where</w:t>
      </w:r>
      <w:r>
        <w:t xml:space="preserve"> </w:t>
      </w:r>
      <m:oMath>
        <m:sSub>
          <m:e>
            <m:acc>
              <m:accPr>
                <m:chr m:val="‾"/>
              </m:accPr>
              <m:e>
                <m:r>
                  <m:t>e</m:t>
                </m:r>
              </m:e>
            </m:acc>
          </m:e>
          <m:sub>
            <m:r>
              <m:t>s</m:t>
            </m:r>
          </m:sub>
        </m:sSub>
      </m:oMath>
      <w:r>
        <w:t xml:space="preserve"> </w:t>
      </w:r>
      <w:r>
        <w:t xml:space="preserve">is the</w:t>
      </w:r>
      <w:r>
        <w:t xml:space="preserve"> </w:t>
      </w:r>
      <w:r>
        <w:t xml:space="preserve">energy-share-weighted mean emission factor in sector</w:t>
      </w:r>
      <w:r>
        <w:t xml:space="preserve"> </w:t>
      </w:r>
      <m:oMath>
        <m:r>
          <m:t>s</m:t>
        </m:r>
      </m:oMath>
      <w:r>
        <w:t xml:space="preserve">. The intensive</w:t>
      </w:r>
      <w:r>
        <w:t xml:space="preserve"> </w:t>
      </w:r>
      <w:r>
        <w:t xml:space="preserve">component is the within-sector wedge; the extensive component is the common cost</w:t>
      </w:r>
      <w:r>
        <w:t xml:space="preserve"> </w:t>
      </w:r>
      <w:r>
        <w:t xml:space="preserve">increase.</w:t>
      </w:r>
    </w:p>
    <w:p>
      <w:pPr>
        <w:pStyle w:val="Compact"/>
        <w:numPr>
          <w:ilvl w:val="0"/>
          <w:numId w:val="1003"/>
        </w:numPr>
      </w:pPr>
      <w:r>
        <w:t xml:space="preserve">A</w:t>
      </w:r>
      <w:r>
        <w:t xml:space="preserve"> </w:t>
      </w:r>
      <w:r>
        <w:rPr>
          <w:b/>
          <w:bCs/>
        </w:rPr>
        <w:t xml:space="preserve">feebate</w:t>
      </w:r>
      <w:r>
        <w:t xml:space="preserve"> </w:t>
      </w:r>
      <w:r>
        <w:t xml:space="preserve">is a pure intensive instrument: it imposes</w:t>
      </w:r>
      <w:r>
        <w:t xml:space="preserve"> </w:t>
      </w:r>
      <m:oMath>
        <m:sSubSup>
          <m:e>
            <m:r>
              <m:t>τ</m:t>
            </m:r>
          </m:e>
          <m:sub>
            <m:r>
              <m:t>f</m:t>
            </m:r>
            <m:r>
              <m:t>s</m:t>
            </m:r>
          </m:sub>
          <m:sup>
            <m:r>
              <m:rPr>
                <m:sty m:val="p"/>
              </m:rPr>
              <m:t>i</m:t>
            </m:r>
            <m:r>
              <m:rPr>
                <m:sty m:val="p"/>
              </m:rPr>
              <m:t>n</m:t>
            </m:r>
            <m:r>
              <m:rPr>
                <m:sty m:val="p"/>
              </m:rPr>
              <m:t>t</m:t>
            </m:r>
          </m:sup>
        </m:sSubSup>
        <m:r>
          <m:rPr>
            <m:sty m:val="p"/>
          </m:rPr>
          <m:t>=</m:t>
        </m:r>
        <m:r>
          <m:t>X</m:t>
        </m:r>
        <m:r>
          <m:rPr>
            <m:sty m:val="p"/>
          </m:rPr>
          <m:t>⋅</m:t>
        </m:r>
        <m:r>
          <m:rPr>
            <m:sty m:val="p"/>
          </m:rPr>
          <m:t>(</m:t>
        </m:r>
        <m:sSub>
          <m:e>
            <m:r>
              <m:t>e</m:t>
            </m:r>
          </m:e>
          <m:sub>
            <m:r>
              <m:t>f</m:t>
            </m:r>
            <m:r>
              <m:t>s</m:t>
            </m:r>
          </m:sub>
        </m:sSub>
        <m:r>
          <m:rPr>
            <m:sty m:val="p"/>
          </m:rPr>
          <m:t>−</m:t>
        </m:r>
        <m:sSub>
          <m:e>
            <m:acc>
              <m:accPr>
                <m:chr m:val="‾"/>
              </m:accPr>
              <m:e>
                <m:r>
                  <m:t>e</m:t>
                </m:r>
              </m:e>
            </m:acc>
          </m:e>
          <m:sub>
            <m:r>
              <m:t>s</m:t>
            </m:r>
          </m:sub>
        </m:sSub>
        <m:r>
          <m:rPr>
            <m:sty m:val="p"/>
          </m:rPr>
          <m:t>)</m:t>
        </m:r>
      </m:oMath>
      <w:r>
        <w:t xml:space="preserve"> </w:t>
      </w:r>
      <w:r>
        <w:t xml:space="preserve">and</w:t>
      </w:r>
      <w:r>
        <w:t xml:space="preserve"> </w:t>
      </w:r>
      <m:oMath>
        <m:sSubSup>
          <m:e>
            <m:r>
              <m:t>τ</m:t>
            </m:r>
          </m:e>
          <m:sub>
            <m:r>
              <m:t>s</m:t>
            </m:r>
          </m:sub>
          <m:sup>
            <m:r>
              <m:rPr>
                <m:sty m:val="p"/>
              </m:rPr>
              <m:t>e</m:t>
            </m:r>
            <m:r>
              <m:rPr>
                <m:sty m:val="p"/>
              </m:rPr>
              <m:t>x</m:t>
            </m:r>
            <m:r>
              <m:rPr>
                <m:sty m:val="p"/>
              </m:rPr>
              <m:t>t</m:t>
            </m:r>
          </m:sup>
        </m:sSubSup>
        <m:r>
          <m:rPr>
            <m:sty m:val="p"/>
          </m:rPr>
          <m:t>=</m:t>
        </m:r>
        <m:r>
          <m:t>0</m:t>
        </m:r>
      </m:oMath>
      <w:r>
        <w:t xml:space="preserve">. By construction it leaves the average sector cost</w:t>
      </w:r>
      <w:r>
        <w:t xml:space="preserve"> </w:t>
      </w:r>
      <w:r>
        <w:t xml:space="preserve">unchanged.</w:t>
      </w:r>
    </w:p>
    <w:p>
      <w:pPr>
        <w:pStyle w:val="Compact"/>
        <w:numPr>
          <w:ilvl w:val="0"/>
          <w:numId w:val="1003"/>
        </w:numPr>
      </w:pPr>
      <w:r>
        <w:t xml:space="preserve">A</w:t>
      </w:r>
      <w:r>
        <w:t xml:space="preserve"> </w:t>
      </w:r>
      <w:r>
        <w:rPr>
          <w:b/>
          <w:bCs/>
        </w:rPr>
        <w:t xml:space="preserve">fuel excise duty</w:t>
      </w:r>
      <w:r>
        <w:t xml:space="preserve"> </w:t>
      </w:r>
      <w:r>
        <w:t xml:space="preserve">is closer to a pure extensive instrument when applied</w:t>
      </w:r>
      <w:r>
        <w:t xml:space="preserve"> </w:t>
      </w:r>
      <w:r>
        <w:t xml:space="preserve">uniformly across all fuels in a sector, but typically applies only to a subset</w:t>
      </w:r>
      <w:r>
        <w:t xml:space="preserve"> </w:t>
      </w:r>
      <w:r>
        <w:t xml:space="preserve">of fuels and so generates both signals.</w:t>
      </w:r>
    </w:p>
    <w:p>
      <w:pPr>
        <w:pStyle w:val="Compact"/>
        <w:numPr>
          <w:ilvl w:val="0"/>
          <w:numId w:val="1003"/>
        </w:numPr>
      </w:pPr>
      <w:r>
        <w:t xml:space="preserve">A</w:t>
      </w:r>
      <w:r>
        <w:t xml:space="preserve"> </w:t>
      </w:r>
      <w:r>
        <w:rPr>
          <w:b/>
          <w:bCs/>
        </w:rPr>
        <w:t xml:space="preserve">clean fuel standard</w:t>
      </w:r>
      <w:r>
        <w:t xml:space="preserve"> </w:t>
      </w:r>
      <w:r>
        <w:t xml:space="preserve">(a quantity instrument) is dual to a feebate: it</w:t>
      </w:r>
      <w:r>
        <w:t xml:space="preserve"> </w:t>
      </w:r>
      <w:r>
        <w:t xml:space="preserve">generates an intensive wedge equal to the shadow price of the standard. The</w:t>
      </w:r>
      <w:r>
        <w:t xml:space="preserve"> </w:t>
      </w:r>
      <w:r>
        <w:t xml:space="preserve">extensive component is small and follows from the average abatement cost.</w:t>
      </w:r>
    </w:p>
    <w:bookmarkEnd w:id="20"/>
    <w:bookmarkEnd w:id="21"/>
    <w:bookmarkStart w:id="24" w:name="the-tecp-formula"/>
    <w:p>
      <w:pPr>
        <w:pStyle w:val="Heading1"/>
      </w:pPr>
      <w:r>
        <w:t xml:space="preserve">The TECP formula</w:t>
      </w:r>
    </w:p>
    <w:bookmarkStart w:id="22" w:name="derivation"/>
    <w:p>
      <w:pPr>
        <w:pStyle w:val="Heading2"/>
      </w:pPr>
      <w:r>
        <w:t xml:space="preserve">Derivation</w:t>
      </w:r>
    </w:p>
    <w:p>
      <w:pPr>
        <w:pStyle w:val="FirstParagraph"/>
      </w:pPr>
      <w:r>
        <w:t xml:space="preserve">Total emissions reduction from a policy package is the sum over fuels and sectors</w:t>
      </w:r>
      <w:r>
        <w:t xml:space="preserve"> </w:t>
      </w:r>
      <w:r>
        <w:t xml:space="preserve">of intensive plus extensive effects. The intensive effect in sector</w:t>
      </w:r>
      <w:r>
        <w:t xml:space="preserve"> </w:t>
      </w:r>
      <m:oMath>
        <m:r>
          <m:t>s</m:t>
        </m:r>
      </m:oMath>
      <w:r>
        <w:t xml:space="preserve"> </w:t>
      </w:r>
      <w:r>
        <w:t xml:space="preserve">is</w:t>
      </w:r>
      <w:r>
        <w:t xml:space="preserve"> </w:t>
      </w:r>
      <m:oMath>
        <m:sSubSup>
          <m:e>
            <m:acc>
              <m:accPr>
                <m:chr m:val="̃"/>
              </m:accPr>
              <m:e>
                <m:r>
                  <m:t>ε</m:t>
                </m:r>
              </m:e>
            </m:acc>
          </m:e>
          <m:sub>
            <m:r>
              <m:t>f</m:t>
            </m:r>
            <m:r>
              <m:t>s</m:t>
            </m:r>
          </m:sub>
          <m:sup>
            <m:r>
              <m:t> </m:t>
            </m:r>
            <m:r>
              <m:rPr>
                <m:sty m:val="p"/>
              </m:rPr>
              <m:t>i</m:t>
            </m:r>
            <m:r>
              <m:rPr>
                <m:sty m:val="p"/>
              </m:rPr>
              <m:t>n</m:t>
            </m:r>
            <m:r>
              <m:rPr>
                <m:sty m:val="p"/>
              </m:rPr>
              <m:t>t</m:t>
            </m:r>
          </m:sup>
        </m:sSubSup>
        <m:r>
          <m:rPr>
            <m:sty m:val="p"/>
          </m:rPr>
          <m:t>⋅</m:t>
        </m:r>
        <m:sSubSup>
          <m:e>
            <m:r>
              <m:t>τ</m:t>
            </m:r>
          </m:e>
          <m:sub>
            <m:r>
              <m:t>f</m:t>
            </m:r>
            <m:r>
              <m:t>s</m:t>
            </m:r>
          </m:sub>
          <m:sup>
            <m:r>
              <m:rPr>
                <m:sty m:val="p"/>
              </m:rPr>
              <m:t>i</m:t>
            </m:r>
            <m:r>
              <m:rPr>
                <m:sty m:val="p"/>
              </m:rPr>
              <m:t>n</m:t>
            </m:r>
            <m:r>
              <m:rPr>
                <m:sty m:val="p"/>
              </m:rPr>
              <m:t>t</m:t>
            </m:r>
          </m:sup>
        </m:sSubSup>
      </m:oMath>
      <w:r>
        <w:t xml:space="preserve"> </w:t>
      </w:r>
      <w:r>
        <w:t xml:space="preserve">(units:</w:t>
      </w:r>
      <w:r>
        <w:t xml:space="preserve"> </w:t>
      </w:r>
      <w:r>
        <w:t xml:space="preserve">t/PJ). The extensive effect in sector</w:t>
      </w:r>
      <w:r>
        <w:t xml:space="preserve"> </w:t>
      </w:r>
      <m:oMath>
        <m:r>
          <m:t>s</m:t>
        </m:r>
      </m:oMath>
      <w:r>
        <w:t xml:space="preserve"> </w:t>
      </w:r>
      <w:r>
        <w:t xml:space="preserve">is</w:t>
      </w:r>
      <w:r>
        <w:t xml:space="preserve"> </w:t>
      </w:r>
      <m:oMath>
        <m:sSubSup>
          <m:e>
            <m:acc>
              <m:accPr>
                <m:chr m:val="̃"/>
              </m:accPr>
              <m:e>
                <m:r>
                  <m:t>ε</m:t>
                </m:r>
              </m:e>
            </m:acc>
          </m:e>
          <m:sub>
            <m:r>
              <m:t>s</m:t>
            </m:r>
          </m:sub>
          <m:sup>
            <m:r>
              <m:t> </m:t>
            </m:r>
            <m:r>
              <m:rPr>
                <m:sty m:val="p"/>
              </m:rPr>
              <m:t>e</m:t>
            </m:r>
            <m:r>
              <m:rPr>
                <m:sty m:val="p"/>
              </m:rPr>
              <m:t>x</m:t>
            </m:r>
            <m:r>
              <m:rPr>
                <m:sty m:val="p"/>
              </m:rPr>
              <m:t>t</m:t>
            </m:r>
          </m:sup>
        </m:sSubSup>
        <m:r>
          <m:rPr>
            <m:sty m:val="p"/>
          </m:rPr>
          <m:t>⋅</m:t>
        </m:r>
        <m:sSubSup>
          <m:e>
            <m:r>
              <m:t>τ</m:t>
            </m:r>
          </m:e>
          <m:sub>
            <m:r>
              <m:t>s</m:t>
            </m:r>
          </m:sub>
          <m:sup>
            <m:r>
              <m:rPr>
                <m:sty m:val="p"/>
              </m:rPr>
              <m:t>e</m:t>
            </m:r>
            <m:r>
              <m:rPr>
                <m:sty m:val="p"/>
              </m:rPr>
              <m:t>x</m:t>
            </m:r>
            <m:r>
              <m:rPr>
                <m:sty m:val="p"/>
              </m:rPr>
              <m:t>t</m:t>
            </m:r>
          </m:sup>
        </m:sSubSup>
      </m:oMath>
      <w:r>
        <w:t xml:space="preserve">. Weighting</w:t>
      </w:r>
      <w:r>
        <w:t xml:space="preserve"> </w:t>
      </w:r>
      <w:r>
        <w:t xml:space="preserve">by baseline emissions</w:t>
      </w:r>
      <w:r>
        <w:t xml:space="preserve"> </w:t>
      </w:r>
      <m:oMath>
        <m:sSub>
          <m:e>
            <m:r>
              <m:t>E</m:t>
            </m:r>
          </m:e>
          <m:sub>
            <m:r>
              <m:t>f</m:t>
            </m:r>
            <m:r>
              <m:t>s</m:t>
            </m:r>
          </m:sub>
        </m:sSub>
      </m:oMath>
      <w:r>
        <w:t xml:space="preserve"> </w:t>
      </w:r>
      <w:r>
        <w:t xml:space="preserve">and summing:</w:t>
      </w:r>
    </w:p>
    <w:p>
      <w:pPr>
        <w:pStyle w:val="BodyText"/>
      </w:pPr>
      <m:oMathPara>
        <m:oMathParaPr>
          <m:jc m:val="center"/>
        </m:oMathParaPr>
        <m:oMath>
          <m:r>
            <m:rPr>
              <m:sty m:val="p"/>
            </m:rPr>
            <m:t>Δ</m:t>
          </m:r>
          <m:r>
            <m:rPr>
              <m:nor/>
              <m:sty m:val="p"/>
            </m:rPr>
            <m:t>Emissions</m:t>
          </m:r>
          <m:r>
            <m:rPr>
              <m:sty m:val="p"/>
            </m:rPr>
            <m:t>=</m:t>
          </m:r>
          <m:nary>
            <m:naryPr>
              <m:chr m:val="∑"/>
              <m:limLoc m:val="undOvr"/>
              <m:subHide m:val="off"/>
              <m:supHide m:val="on"/>
            </m:naryPr>
            <m:sub>
              <m:r>
                <m:t>s</m:t>
              </m:r>
            </m:sub>
            <m:sup>
              <m:r>
                <m:t>​</m:t>
              </m:r>
            </m:sup>
            <m:e>
              <m:nary>
                <m:naryPr>
                  <m:chr m:val="∑"/>
                  <m:limLoc m:val="undOvr"/>
                  <m:subHide m:val="off"/>
                  <m:supHide m:val="on"/>
                </m:naryPr>
                <m:sub>
                  <m:r>
                    <m:t>f</m:t>
                  </m:r>
                </m:sub>
                <m:sup>
                  <m:r>
                    <m:t>​</m:t>
                  </m:r>
                </m:sup>
                <m:e>
                  <m:sSub>
                    <m:e>
                      <m:r>
                        <m:t>E</m:t>
                      </m:r>
                    </m:e>
                    <m:sub>
                      <m:r>
                        <m:t>f</m:t>
                      </m:r>
                      <m:r>
                        <m:t>s</m:t>
                      </m:r>
                    </m:sub>
                  </m:sSub>
                </m:e>
              </m:nary>
            </m:e>
          </m:nary>
          <m:r>
            <m:rPr>
              <m:sty m:val="p"/>
            </m:rPr>
            <m:t>⋅</m:t>
          </m:r>
          <m:d>
            <m:dPr>
              <m:begChr m:val="["/>
              <m:sepChr m:val=""/>
              <m:endChr m:val="]"/>
              <m:grow/>
            </m:dPr>
            <m:e>
              <m:r>
                <m:t> </m:t>
              </m:r>
              <m:sSubSup>
                <m:e>
                  <m:acc>
                    <m:accPr>
                      <m:chr m:val="̃"/>
                    </m:accPr>
                    <m:e>
                      <m:r>
                        <m:t>ε</m:t>
                      </m:r>
                    </m:e>
                  </m:acc>
                </m:e>
                <m:sub>
                  <m:r>
                    <m:t>f</m:t>
                  </m:r>
                  <m:r>
                    <m:t>s</m:t>
                  </m:r>
                </m:sub>
                <m:sup>
                  <m:r>
                    <m:t> </m:t>
                  </m:r>
                  <m:r>
                    <m:rPr>
                      <m:sty m:val="p"/>
                    </m:rPr>
                    <m:t>i</m:t>
                  </m:r>
                  <m:r>
                    <m:rPr>
                      <m:sty m:val="p"/>
                    </m:rPr>
                    <m:t>n</m:t>
                  </m:r>
                  <m:r>
                    <m:rPr>
                      <m:sty m:val="p"/>
                    </m:rPr>
                    <m:t>t</m:t>
                  </m:r>
                </m:sup>
              </m:sSubSup>
              <m:r>
                <m:rPr>
                  <m:sty m:val="p"/>
                </m:rPr>
                <m:t>⋅</m:t>
              </m:r>
              <m:sSubSup>
                <m:e>
                  <m:r>
                    <m:t>τ</m:t>
                  </m:r>
                </m:e>
                <m:sub>
                  <m:r>
                    <m:t>f</m:t>
                  </m:r>
                  <m:r>
                    <m:t>s</m:t>
                  </m:r>
                </m:sub>
                <m:sup>
                  <m:r>
                    <m:rPr>
                      <m:sty m:val="p"/>
                    </m:rPr>
                    <m:t>i</m:t>
                  </m:r>
                  <m:r>
                    <m:rPr>
                      <m:sty m:val="p"/>
                    </m:rPr>
                    <m:t>n</m:t>
                  </m:r>
                  <m:r>
                    <m:rPr>
                      <m:sty m:val="p"/>
                    </m:rPr>
                    <m:t>t</m:t>
                  </m:r>
                </m:sup>
              </m:sSubSup>
              <m:r>
                <m:t> </m:t>
              </m:r>
              <m:r>
                <m:rPr>
                  <m:sty m:val="p"/>
                </m:rPr>
                <m:t>+</m:t>
              </m:r>
              <m:r>
                <m:t> </m:t>
              </m:r>
              <m:sSubSup>
                <m:e>
                  <m:acc>
                    <m:accPr>
                      <m:chr m:val="̃"/>
                    </m:accPr>
                    <m:e>
                      <m:r>
                        <m:t>ε</m:t>
                      </m:r>
                    </m:e>
                  </m:acc>
                </m:e>
                <m:sub>
                  <m:r>
                    <m:t>s</m:t>
                  </m:r>
                </m:sub>
                <m:sup>
                  <m:r>
                    <m:t> </m:t>
                  </m:r>
                  <m:r>
                    <m:rPr>
                      <m:sty m:val="p"/>
                    </m:rPr>
                    <m:t>e</m:t>
                  </m:r>
                  <m:r>
                    <m:rPr>
                      <m:sty m:val="p"/>
                    </m:rPr>
                    <m:t>x</m:t>
                  </m:r>
                  <m:r>
                    <m:rPr>
                      <m:sty m:val="p"/>
                    </m:rPr>
                    <m:t>t</m:t>
                  </m:r>
                </m:sup>
              </m:sSubSup>
              <m:r>
                <m:rPr>
                  <m:sty m:val="p"/>
                </m:rPr>
                <m:t>⋅</m:t>
              </m:r>
              <m:sSubSup>
                <m:e>
                  <m:r>
                    <m:t>τ</m:t>
                  </m:r>
                </m:e>
                <m:sub>
                  <m:r>
                    <m:t>s</m:t>
                  </m:r>
                </m:sub>
                <m:sup>
                  <m:r>
                    <m:rPr>
                      <m:sty m:val="p"/>
                    </m:rPr>
                    <m:t>e</m:t>
                  </m:r>
                  <m:r>
                    <m:rPr>
                      <m:sty m:val="p"/>
                    </m:rPr>
                    <m:t>x</m:t>
                  </m:r>
                  <m:r>
                    <m:rPr>
                      <m:sty m:val="p"/>
                    </m:rPr>
                    <m:t>t</m:t>
                  </m:r>
                </m:sup>
              </m:sSubSup>
              <m:r>
                <m:t> </m:t>
              </m:r>
            </m:e>
          </m:d>
        </m:oMath>
      </m:oMathPara>
    </w:p>
    <w:p>
      <w:pPr>
        <w:pStyle w:val="FirstParagraph"/>
      </w:pPr>
      <w:r>
        <w:t xml:space="preserve">{#eq-emissions}</w:t>
      </w:r>
    </w:p>
    <w:p>
      <w:pPr>
        <w:pStyle w:val="BodyText"/>
      </w:pPr>
      <w:r>
        <w:t xml:space="preserve">Setting this equal to the emissions reduction from a counterfactual uniform carbon</w:t>
      </w:r>
      <w:r>
        <w:t xml:space="preserve"> </w:t>
      </w:r>
      <w:r>
        <w:t xml:space="preserve">tax</w:t>
      </w:r>
      <w:r>
        <w:t xml:space="preserve"> </w:t>
      </w:r>
      <m:oMath>
        <m:sSup>
          <m:e>
            <m:r>
              <m:t>τ</m:t>
            </m:r>
          </m:e>
          <m:sup>
            <m:r>
              <m:rPr>
                <m:sty m:val="p"/>
              </m:rPr>
              <m:t>*</m:t>
            </m:r>
          </m:sup>
        </m:sSup>
      </m:oMath>
      <w:r>
        <w:t xml:space="preserve">, and solving for</w:t>
      </w:r>
      <w:r>
        <w:t xml:space="preserve"> </w:t>
      </w:r>
      <m:oMath>
        <m:sSup>
          <m:e>
            <m:r>
              <m:t>τ</m:t>
            </m:r>
          </m:e>
          <m:sup>
            <m:r>
              <m:rPr>
                <m:sty m:val="p"/>
              </m:rPr>
              <m:t>*</m:t>
            </m:r>
          </m:sup>
        </m:sSup>
      </m:oMath>
      <w:r>
        <w:t xml:space="preserve">, gives the headline formula</w:t>
      </w:r>
      <w:r>
        <w:t xml:space="preserve"> </w:t>
      </w:r>
      <w:r>
        <w:t xml:space="preserve">(</w:t>
      </w:r>
      <w:r>
        <w:t xml:space="preserve">@eq-tecp</w:t>
      </w:r>
      <w:r>
        <w:t xml:space="preserve">), where the normalisation constant</w:t>
      </w:r>
      <w:r>
        <w:t xml:space="preserve"> </w:t>
      </w:r>
      <m:oMath>
        <m:r>
          <m:rPr>
            <m:sty m:val="p"/>
          </m:rPr>
          <m:t>Λ</m:t>
        </m:r>
      </m:oMath>
      <w:r>
        <w:t xml:space="preserve"> </w:t>
      </w:r>
      <w:r>
        <w:t xml:space="preserve">is the abatement that a</w:t>
      </w:r>
      <w:r>
        <w:t xml:space="preserve"> </w:t>
      </w:r>
      <w:r>
        <w:t xml:space="preserve">$1/tCO</w:t>
      </w:r>
      <w:r>
        <w:rPr>
          <w:vertAlign w:val="subscript"/>
        </w:rPr>
        <w:t xml:space="preserve">2</w:t>
      </w:r>
      <w:r>
        <w:t xml:space="preserve"> </w:t>
      </w:r>
      <w:r>
        <w:t xml:space="preserve">uniform tax would generate. Algebraically:</w:t>
      </w:r>
    </w:p>
    <w:p>
      <w:pPr>
        <w:pStyle w:val="BodyText"/>
      </w:pPr>
      <m:oMathPara>
        <m:oMathParaPr>
          <m:jc m:val="center"/>
        </m:oMathParaPr>
        <m:oMath>
          <m:r>
            <m:rPr>
              <m:sty m:val="p"/>
            </m:rPr>
            <m:t>Λ</m:t>
          </m:r>
          <m:r>
            <m:t> </m:t>
          </m:r>
          <m:r>
            <m:rPr>
              <m:sty m:val="p"/>
            </m:rPr>
            <m:t>=</m:t>
          </m:r>
          <m:r>
            <m:t> </m:t>
          </m:r>
          <m:nary>
            <m:naryPr>
              <m:chr m:val="∑"/>
              <m:limLoc m:val="undOvr"/>
              <m:subHide m:val="off"/>
              <m:supHide m:val="on"/>
            </m:naryPr>
            <m:sub>
              <m:r>
                <m:t>s</m:t>
              </m:r>
            </m:sub>
            <m:sup>
              <m:r>
                <m:t>​</m:t>
              </m:r>
            </m:sup>
            <m:e>
              <m:nary>
                <m:naryPr>
                  <m:chr m:val="∑"/>
                  <m:limLoc m:val="undOvr"/>
                  <m:subHide m:val="off"/>
                  <m:supHide m:val="on"/>
                </m:naryPr>
                <m:sub>
                  <m:r>
                    <m:t>f</m:t>
                  </m:r>
                </m:sub>
                <m:sup>
                  <m:r>
                    <m:t>​</m:t>
                  </m:r>
                </m:sup>
                <m:e>
                  <m:sSub>
                    <m:e>
                      <m:r>
                        <m:t>E</m:t>
                      </m:r>
                    </m:e>
                    <m:sub>
                      <m:r>
                        <m:t>f</m:t>
                      </m:r>
                      <m:r>
                        <m:t>s</m:t>
                      </m:r>
                    </m:sub>
                  </m:sSub>
                </m:e>
              </m:nary>
            </m:e>
          </m:nary>
          <m:r>
            <m:rPr>
              <m:sty m:val="p"/>
            </m:rPr>
            <m:t>⋅</m:t>
          </m:r>
          <m:d>
            <m:dPr>
              <m:begChr m:val="["/>
              <m:sepChr m:val=""/>
              <m:endChr m:val="]"/>
              <m:grow/>
            </m:dPr>
            <m:e>
              <m:r>
                <m:t> </m:t>
              </m:r>
              <m:sSubSup>
                <m:e>
                  <m:acc>
                    <m:accPr>
                      <m:chr m:val="̃"/>
                    </m:accPr>
                    <m:e>
                      <m:r>
                        <m:t>ε</m:t>
                      </m:r>
                    </m:e>
                  </m:acc>
                </m:e>
                <m:sub>
                  <m:r>
                    <m:t>f</m:t>
                  </m:r>
                  <m:r>
                    <m:t>s</m:t>
                  </m:r>
                </m:sub>
                <m:sup>
                  <m:r>
                    <m:t> </m:t>
                  </m:r>
                  <m:r>
                    <m:rPr>
                      <m:sty m:val="p"/>
                    </m:rPr>
                    <m:t>i</m:t>
                  </m:r>
                  <m:r>
                    <m:rPr>
                      <m:sty m:val="p"/>
                    </m:rPr>
                    <m:t>n</m:t>
                  </m:r>
                  <m:r>
                    <m:rPr>
                      <m:sty m:val="p"/>
                    </m:rPr>
                    <m:t>t</m:t>
                  </m:r>
                </m:sup>
              </m:sSubSup>
              <m:r>
                <m:rPr>
                  <m:sty m:val="p"/>
                </m:rPr>
                <m:t>⋅</m:t>
              </m:r>
              <m:r>
                <m:rPr>
                  <m:sty m:val="p"/>
                </m:rPr>
                <m:t>(</m:t>
              </m:r>
              <m:sSub>
                <m:e>
                  <m:r>
                    <m:t>e</m:t>
                  </m:r>
                </m:e>
                <m:sub>
                  <m:r>
                    <m:t>f</m:t>
                  </m:r>
                  <m:r>
                    <m:t>s</m:t>
                  </m:r>
                </m:sub>
              </m:sSub>
              <m:r>
                <m:rPr>
                  <m:sty m:val="p"/>
                </m:rPr>
                <m:t>−</m:t>
              </m:r>
              <m:sSub>
                <m:e>
                  <m:acc>
                    <m:accPr>
                      <m:chr m:val="‾"/>
                    </m:accPr>
                    <m:e>
                      <m:r>
                        <m:t>e</m:t>
                      </m:r>
                    </m:e>
                  </m:acc>
                </m:e>
                <m:sub>
                  <m:r>
                    <m:t>s</m:t>
                  </m:r>
                </m:sub>
              </m:sSub>
              <m:r>
                <m:rPr>
                  <m:sty m:val="p"/>
                </m:rPr>
                <m:t>)</m:t>
              </m:r>
              <m:r>
                <m:t> </m:t>
              </m:r>
              <m:r>
                <m:rPr>
                  <m:sty m:val="p"/>
                </m:rPr>
                <m:t>+</m:t>
              </m:r>
              <m:r>
                <m:t> </m:t>
              </m:r>
              <m:sSubSup>
                <m:e>
                  <m:acc>
                    <m:accPr>
                      <m:chr m:val="̃"/>
                    </m:accPr>
                    <m:e>
                      <m:r>
                        <m:t>ε</m:t>
                      </m:r>
                    </m:e>
                  </m:acc>
                </m:e>
                <m:sub>
                  <m:r>
                    <m:t>s</m:t>
                  </m:r>
                </m:sub>
                <m:sup>
                  <m:r>
                    <m:t> </m:t>
                  </m:r>
                  <m:r>
                    <m:rPr>
                      <m:sty m:val="p"/>
                    </m:rPr>
                    <m:t>e</m:t>
                  </m:r>
                  <m:r>
                    <m:rPr>
                      <m:sty m:val="p"/>
                    </m:rPr>
                    <m:t>x</m:t>
                  </m:r>
                  <m:r>
                    <m:rPr>
                      <m:sty m:val="p"/>
                    </m:rPr>
                    <m:t>t</m:t>
                  </m:r>
                </m:sup>
              </m:sSubSup>
              <m:r>
                <m:rPr>
                  <m:sty m:val="p"/>
                </m:rPr>
                <m:t>⋅</m:t>
              </m:r>
              <m:sSub>
                <m:e>
                  <m:acc>
                    <m:accPr>
                      <m:chr m:val="‾"/>
                    </m:accPr>
                    <m:e>
                      <m:r>
                        <m:t>e</m:t>
                      </m:r>
                    </m:e>
                  </m:acc>
                </m:e>
                <m:sub>
                  <m:r>
                    <m:t>s</m:t>
                  </m:r>
                </m:sub>
              </m:sSub>
              <m:r>
                <m:t> </m:t>
              </m:r>
            </m:e>
          </m:d>
        </m:oMath>
      </m:oMathPara>
    </w:p>
    <w:p>
      <w:pPr>
        <w:pStyle w:val="FirstParagraph"/>
      </w:pPr>
      <w:r>
        <w:t xml:space="preserve">{#eq-lambda}</w:t>
      </w:r>
    </w:p>
    <w:bookmarkEnd w:id="22"/>
    <w:bookmarkStart w:id="23" w:name="the-role-of-the-omega-weights"/>
    <w:p>
      <w:pPr>
        <w:pStyle w:val="Heading2"/>
      </w:pPr>
      <w:r>
        <w:t xml:space="preserve">The role of the</w:t>
      </w:r>
      <w:r>
        <w:t xml:space="preserve"> </w:t>
      </w:r>
      <m:oMath>
        <m:r>
          <m:rPr>
            <m:sty m:val="p"/>
          </m:rPr>
          <m:t>Ω</m:t>
        </m:r>
      </m:oMath>
      <w:r>
        <w:t xml:space="preserve"> </w:t>
      </w:r>
      <w:r>
        <w:t xml:space="preserve">weights</w:t>
      </w:r>
    </w:p>
    <w:p>
      <w:pPr>
        <w:pStyle w:val="FirstParagraph"/>
      </w:pPr>
      <w:r>
        <w:t xml:space="preserve">Rearranging the formula reveals the abatement weights. For each fuel-sector cell</w:t>
      </w:r>
      <w:r>
        <w:t xml:space="preserve"> </w:t>
      </w:r>
      <w:r>
        <w:t xml:space="preserve">define:</w:t>
      </w:r>
    </w:p>
    <w:p>
      <w:pPr>
        <w:pStyle w:val="BodyText"/>
      </w:pPr>
      <m:oMathPara>
        <m:oMathParaPr>
          <m:jc m:val="center"/>
        </m:oMathParaPr>
        <m:oMath>
          <m:sSubSup>
            <m:e>
              <m:r>
                <m:rPr>
                  <m:sty m:val="p"/>
                </m:rPr>
                <m:t>Ω</m:t>
              </m:r>
            </m:e>
            <m:sub>
              <m:r>
                <m:t>f</m:t>
              </m:r>
              <m:r>
                <m:t>s</m:t>
              </m:r>
            </m:sub>
            <m:sup>
              <m:r>
                <m:rPr>
                  <m:sty m:val="p"/>
                </m:rPr>
                <m:t>i</m:t>
              </m:r>
              <m:r>
                <m:rPr>
                  <m:sty m:val="p"/>
                </m:rPr>
                <m:t>n</m:t>
              </m:r>
              <m:r>
                <m:rPr>
                  <m:sty m:val="p"/>
                </m:rPr>
                <m:t>t</m:t>
              </m:r>
            </m:sup>
          </m:sSubSup>
          <m:r>
            <m:rPr>
              <m:sty m:val="p"/>
            </m:rPr>
            <m:t>=</m:t>
          </m:r>
          <m:f>
            <m:fPr>
              <m:type m:val="bar"/>
            </m:fPr>
            <m:num>
              <m:sSub>
                <m:e>
                  <m:r>
                    <m:t>E</m:t>
                  </m:r>
                </m:e>
                <m:sub>
                  <m:r>
                    <m:t>f</m:t>
                  </m:r>
                  <m:r>
                    <m:t>s</m:t>
                  </m:r>
                </m:sub>
              </m:sSub>
              <m:r>
                <m:rPr>
                  <m:sty m:val="p"/>
                </m:rPr>
                <m:t>⋅</m:t>
              </m:r>
              <m:sSubSup>
                <m:e>
                  <m:acc>
                    <m:accPr>
                      <m:chr m:val="̃"/>
                    </m:accPr>
                    <m:e>
                      <m:r>
                        <m:t>ε</m:t>
                      </m:r>
                    </m:e>
                  </m:acc>
                </m:e>
                <m:sub>
                  <m:r>
                    <m:t>f</m:t>
                  </m:r>
                  <m:r>
                    <m:t>s</m:t>
                  </m:r>
                </m:sub>
                <m:sup>
                  <m:r>
                    <m:t> </m:t>
                  </m:r>
                  <m:r>
                    <m:rPr>
                      <m:sty m:val="p"/>
                    </m:rPr>
                    <m:t>i</m:t>
                  </m:r>
                  <m:r>
                    <m:rPr>
                      <m:sty m:val="p"/>
                    </m:rPr>
                    <m:t>n</m:t>
                  </m:r>
                  <m:r>
                    <m:rPr>
                      <m:sty m:val="p"/>
                    </m:rPr>
                    <m:t>t</m:t>
                  </m:r>
                </m:sup>
              </m:sSubSup>
            </m:num>
            <m:den>
              <m:r>
                <m:rPr>
                  <m:sty m:val="p"/>
                </m:rPr>
                <m:t>Λ</m:t>
              </m:r>
            </m:den>
          </m:f>
          <m:r>
            <m:rPr>
              <m:sty m:val="p"/>
            </m:rPr>
            <m:t>,</m:t>
          </m:r>
          <m:r>
            <m:t>  </m:t>
          </m:r>
          <m:sSubSup>
            <m:e>
              <m:r>
                <m:rPr>
                  <m:sty m:val="p"/>
                </m:rPr>
                <m:t>Ω</m:t>
              </m:r>
            </m:e>
            <m:sub>
              <m:r>
                <m:t>s</m:t>
              </m:r>
            </m:sub>
            <m:sup>
              <m:r>
                <m:rPr>
                  <m:sty m:val="p"/>
                </m:rPr>
                <m:t>e</m:t>
              </m:r>
              <m:r>
                <m:rPr>
                  <m:sty m:val="p"/>
                </m:rPr>
                <m:t>x</m:t>
              </m:r>
              <m:r>
                <m:rPr>
                  <m:sty m:val="p"/>
                </m:rPr>
                <m:t>t</m:t>
              </m:r>
            </m:sup>
          </m:sSubSup>
          <m:r>
            <m:rPr>
              <m:sty m:val="p"/>
            </m:rPr>
            <m:t>=</m:t>
          </m:r>
          <m:f>
            <m:fPr>
              <m:type m:val="bar"/>
            </m:fPr>
            <m:num>
              <m:d>
                <m:dPr>
                  <m:begChr m:val="("/>
                  <m:sepChr m:val=""/>
                  <m:endChr m:val=")"/>
                  <m:grow/>
                </m:dPr>
                <m:e>
                  <m:nary>
                    <m:naryPr>
                      <m:chr m:val="∑"/>
                      <m:limLoc m:val="undOvr"/>
                      <m:subHide m:val="off"/>
                      <m:supHide m:val="on"/>
                    </m:naryPr>
                    <m:sub>
                      <m:r>
                        <m:t>f</m:t>
                      </m:r>
                    </m:sub>
                    <m:sup>
                      <m:r>
                        <m:t>​</m:t>
                      </m:r>
                    </m:sup>
                    <m:e>
                      <m:sSub>
                        <m:e>
                          <m:r>
                            <m:t>E</m:t>
                          </m:r>
                        </m:e>
                        <m:sub>
                          <m:r>
                            <m:t>f</m:t>
                          </m:r>
                          <m:r>
                            <m:t>s</m:t>
                          </m:r>
                        </m:sub>
                      </m:sSub>
                    </m:e>
                  </m:nary>
                </m:e>
              </m:d>
              <m:r>
                <m:rPr>
                  <m:sty m:val="p"/>
                </m:rPr>
                <m:t>⋅</m:t>
              </m:r>
              <m:sSubSup>
                <m:e>
                  <m:acc>
                    <m:accPr>
                      <m:chr m:val="̃"/>
                    </m:accPr>
                    <m:e>
                      <m:r>
                        <m:t>ε</m:t>
                      </m:r>
                    </m:e>
                  </m:acc>
                </m:e>
                <m:sub>
                  <m:r>
                    <m:t>s</m:t>
                  </m:r>
                </m:sub>
                <m:sup>
                  <m:r>
                    <m:t> </m:t>
                  </m:r>
                  <m:r>
                    <m:rPr>
                      <m:sty m:val="p"/>
                    </m:rPr>
                    <m:t>e</m:t>
                  </m:r>
                  <m:r>
                    <m:rPr>
                      <m:sty m:val="p"/>
                    </m:rPr>
                    <m:t>x</m:t>
                  </m:r>
                  <m:r>
                    <m:rPr>
                      <m:sty m:val="p"/>
                    </m:rPr>
                    <m:t>t</m:t>
                  </m:r>
                </m:sup>
              </m:sSubSup>
            </m:num>
            <m:den>
              <m:r>
                <m:rPr>
                  <m:sty m:val="p"/>
                </m:rPr>
                <m:t>Λ</m:t>
              </m:r>
            </m:den>
          </m:f>
        </m:oMath>
      </m:oMathPara>
    </w:p>
    <w:p>
      <w:pPr>
        <w:pStyle w:val="FirstParagraph"/>
      </w:pPr>
      <w:r>
        <w:t xml:space="preserve">{#eq-omega}</w:t>
      </w:r>
    </w:p>
    <w:p>
      <w:pPr>
        <w:pStyle w:val="BodyText"/>
      </w:pPr>
      <w:r>
        <w:t xml:space="preserve">These weights are properties of the economy, not of the policy. They are computed</w:t>
      </w:r>
      <w:r>
        <w:t xml:space="preserve"> </w:t>
      </w:r>
      <w:r>
        <w:t xml:space="preserve">once from the energy balance, fuel prices, emission factors, and demand</w:t>
      </w:r>
      <w:r>
        <w:t xml:space="preserve"> </w:t>
      </w:r>
      <w:r>
        <w:t xml:space="preserve">elasticities. After that, evaluating any policy scenario is a single weighted sum:</w:t>
      </w:r>
    </w:p>
    <w:p>
      <w:pPr>
        <w:pStyle w:val="BodyText"/>
      </w:pPr>
      <m:oMathPara>
        <m:oMathParaPr>
          <m:jc m:val="center"/>
        </m:oMathParaPr>
        <m:oMath>
          <m:sSup>
            <m:e>
              <m:r>
                <m:t>τ</m:t>
              </m:r>
            </m:e>
            <m:sup>
              <m:r>
                <m:rPr>
                  <m:sty m:val="p"/>
                </m:rPr>
                <m:t>*</m:t>
              </m:r>
            </m:sup>
          </m:sSup>
          <m:r>
            <m:t> </m:t>
          </m:r>
          <m:r>
            <m:rPr>
              <m:sty m:val="p"/>
            </m:rPr>
            <m:t>=</m:t>
          </m:r>
          <m:r>
            <m:t> </m:t>
          </m:r>
          <m:nary>
            <m:naryPr>
              <m:chr m:val="∑"/>
              <m:limLoc m:val="undOvr"/>
              <m:subHide m:val="off"/>
              <m:supHide m:val="on"/>
            </m:naryPr>
            <m:sub>
              <m:r>
                <m:t>s</m:t>
              </m:r>
            </m:sub>
            <m:sup>
              <m:r>
                <m:t>​</m:t>
              </m:r>
            </m:sup>
            <m:e>
              <m:nary>
                <m:naryPr>
                  <m:chr m:val="∑"/>
                  <m:limLoc m:val="undOvr"/>
                  <m:subHide m:val="off"/>
                  <m:supHide m:val="on"/>
                </m:naryPr>
                <m:sub>
                  <m:r>
                    <m:t>f</m:t>
                  </m:r>
                </m:sub>
                <m:sup>
                  <m:r>
                    <m:t>​</m:t>
                  </m:r>
                </m:sup>
                <m:e>
                  <m:sSubSup>
                    <m:e>
                      <m:r>
                        <m:rPr>
                          <m:sty m:val="p"/>
                        </m:rPr>
                        <m:t>Ω</m:t>
                      </m:r>
                    </m:e>
                    <m:sub>
                      <m:r>
                        <m:t>f</m:t>
                      </m:r>
                      <m:r>
                        <m:t>s</m:t>
                      </m:r>
                    </m:sub>
                    <m:sup>
                      <m:r>
                        <m:rPr>
                          <m:sty m:val="p"/>
                        </m:rPr>
                        <m:t>i</m:t>
                      </m:r>
                      <m:r>
                        <m:rPr>
                          <m:sty m:val="p"/>
                        </m:rPr>
                        <m:t>n</m:t>
                      </m:r>
                      <m:r>
                        <m:rPr>
                          <m:sty m:val="p"/>
                        </m:rPr>
                        <m:t>t</m:t>
                      </m:r>
                    </m:sup>
                  </m:sSubSup>
                </m:e>
              </m:nary>
            </m:e>
          </m:nary>
          <m:r>
            <m:rPr>
              <m:sty m:val="p"/>
            </m:rPr>
            <m:t>⋅</m:t>
          </m:r>
          <m:sSubSup>
            <m:e>
              <m:r>
                <m:t>τ</m:t>
              </m:r>
            </m:e>
            <m:sub>
              <m:r>
                <m:t>f</m:t>
              </m:r>
              <m:r>
                <m:t>s</m:t>
              </m:r>
            </m:sub>
            <m:sup>
              <m:r>
                <m:rPr>
                  <m:sty m:val="p"/>
                </m:rPr>
                <m:t>i</m:t>
              </m:r>
              <m:r>
                <m:rPr>
                  <m:sty m:val="p"/>
                </m:rPr>
                <m:t>n</m:t>
              </m:r>
              <m:r>
                <m:rPr>
                  <m:sty m:val="p"/>
                </m:rPr>
                <m:t>t</m:t>
              </m:r>
            </m:sup>
          </m:sSubSup>
          <m:r>
            <m:t> </m:t>
          </m:r>
          <m:r>
            <m:rPr>
              <m:sty m:val="p"/>
            </m:rPr>
            <m:t>+</m:t>
          </m:r>
          <m:r>
            <m:t> </m:t>
          </m:r>
          <m:nary>
            <m:naryPr>
              <m:chr m:val="∑"/>
              <m:limLoc m:val="undOvr"/>
              <m:subHide m:val="off"/>
              <m:supHide m:val="on"/>
            </m:naryPr>
            <m:sub>
              <m:r>
                <m:t>s</m:t>
              </m:r>
            </m:sub>
            <m:sup>
              <m:r>
                <m:t>​</m:t>
              </m:r>
            </m:sup>
            <m:e>
              <m:sSubSup>
                <m:e>
                  <m:r>
                    <m:rPr>
                      <m:sty m:val="p"/>
                    </m:rPr>
                    <m:t>Ω</m:t>
                  </m:r>
                </m:e>
                <m:sub>
                  <m:r>
                    <m:t>s</m:t>
                  </m:r>
                </m:sub>
                <m:sup>
                  <m:r>
                    <m:rPr>
                      <m:sty m:val="p"/>
                    </m:rPr>
                    <m:t>e</m:t>
                  </m:r>
                  <m:r>
                    <m:rPr>
                      <m:sty m:val="p"/>
                    </m:rPr>
                    <m:t>x</m:t>
                  </m:r>
                  <m:r>
                    <m:rPr>
                      <m:sty m:val="p"/>
                    </m:rPr>
                    <m:t>t</m:t>
                  </m:r>
                </m:sup>
              </m:sSubSup>
            </m:e>
          </m:nary>
          <m:r>
            <m:rPr>
              <m:sty m:val="p"/>
            </m:rPr>
            <m:t>⋅</m:t>
          </m:r>
          <m:sSubSup>
            <m:e>
              <m:r>
                <m:t>τ</m:t>
              </m:r>
            </m:e>
            <m:sub>
              <m:r>
                <m:t>s</m:t>
              </m:r>
            </m:sub>
            <m:sup>
              <m:r>
                <m:rPr>
                  <m:sty m:val="p"/>
                </m:rPr>
                <m:t>e</m:t>
              </m:r>
              <m:r>
                <m:rPr>
                  <m:sty m:val="p"/>
                </m:rPr>
                <m:t>x</m:t>
              </m:r>
              <m:r>
                <m:rPr>
                  <m:sty m:val="p"/>
                </m:rPr>
                <m:t>t</m:t>
              </m:r>
            </m:sup>
          </m:sSubSup>
        </m:oMath>
      </m:oMathPara>
    </w:p>
    <w:p>
      <w:pPr>
        <w:pStyle w:val="FirstParagraph"/>
      </w:pPr>
      <w:r>
        <w:t xml:space="preserve">{#eq-tecp-omega}</w:t>
      </w:r>
    </w:p>
    <w:p>
      <w:pPr>
        <w:pStyle w:val="BodyText"/>
      </w:pPr>
      <w:r>
        <w:t xml:space="preserve">This is the framework’s key operational property. The policy enters only through</w:t>
      </w:r>
      <w:r>
        <w:t xml:space="preserve"> </w:t>
      </w:r>
      <w:r>
        <w:t xml:space="preserve">the instrument-specific effective prices on each margin. Change the policy,</w:t>
      </w:r>
      <w:r>
        <w:t xml:space="preserve"> </w:t>
      </w:r>
      <w:r>
        <w:t xml:space="preserve">recompute the TECP in milliseconds. No re-solving of equilibrium, no re-running of</w:t>
      </w:r>
      <w:r>
        <w:t xml:space="preserve"> </w:t>
      </w:r>
      <w:r>
        <w:t xml:space="preserve">models.</w:t>
      </w:r>
    </w:p>
    <w:bookmarkEnd w:id="23"/>
    <w:bookmarkEnd w:id="24"/>
    <w:bookmarkStart w:id="28" w:name="decomposition-and-diagnostics"/>
    <w:p>
      <w:pPr>
        <w:pStyle w:val="Heading1"/>
      </w:pPr>
      <w:r>
        <w:t xml:space="preserve">Decomposition and diagnostics</w:t>
      </w:r>
    </w:p>
    <w:bookmarkStart w:id="25" w:name="by-margin"/>
    <w:p>
      <w:pPr>
        <w:pStyle w:val="Heading2"/>
      </w:pPr>
      <w:r>
        <w:t xml:space="preserve">By margin</w:t>
      </w:r>
    </w:p>
    <w:p>
      <w:pPr>
        <w:pStyle w:val="FirstParagraph"/>
      </w:pPr>
      <w:r>
        <w:t xml:space="preserve">The TECP decomposes additively into intensive and extensive contributions:</w:t>
      </w:r>
      <w:r>
        <w:t xml:space="preserve"> </w:t>
      </w:r>
      <m:oMath>
        <m:sSup>
          <m:e>
            <m:r>
              <m:t>τ</m:t>
            </m:r>
          </m:e>
          <m:sup>
            <m:r>
              <m:rPr>
                <m:sty m:val="p"/>
              </m:rPr>
              <m:t>*</m:t>
            </m:r>
          </m:sup>
        </m:sSup>
        <m:r>
          <m:rPr>
            <m:sty m:val="p"/>
          </m:rPr>
          <m:t>=</m:t>
        </m:r>
        <m:sSubSup>
          <m:e>
            <m:r>
              <m:t>τ</m:t>
            </m:r>
          </m:e>
          <m:sub>
            <m:r>
              <m:rPr>
                <m:sty m:val="p"/>
              </m:rPr>
              <m:t>i</m:t>
            </m:r>
            <m:r>
              <m:rPr>
                <m:sty m:val="p"/>
              </m:rPr>
              <m:t>n</m:t>
            </m:r>
            <m:r>
              <m:rPr>
                <m:sty m:val="p"/>
              </m:rPr>
              <m:t>t</m:t>
            </m:r>
          </m:sub>
          <m:sup>
            <m:r>
              <m:rPr>
                <m:sty m:val="p"/>
              </m:rPr>
              <m:t>*</m:t>
            </m:r>
          </m:sup>
        </m:sSubSup>
        <m:r>
          <m:rPr>
            <m:sty m:val="p"/>
          </m:rPr>
          <m:t>+</m:t>
        </m:r>
        <m:sSubSup>
          <m:e>
            <m:r>
              <m:t>τ</m:t>
            </m:r>
          </m:e>
          <m:sub>
            <m:r>
              <m:rPr>
                <m:sty m:val="p"/>
              </m:rPr>
              <m:t>e</m:t>
            </m:r>
            <m:r>
              <m:rPr>
                <m:sty m:val="p"/>
              </m:rPr>
              <m:t>x</m:t>
            </m:r>
            <m:r>
              <m:rPr>
                <m:sty m:val="p"/>
              </m:rPr>
              <m:t>t</m:t>
            </m:r>
          </m:sub>
          <m:sup>
            <m:r>
              <m:rPr>
                <m:sty m:val="p"/>
              </m:rPr>
              <m:t>*</m:t>
            </m:r>
          </m:sup>
        </m:sSubSup>
      </m:oMath>
      <w:r>
        <w:t xml:space="preserve">. A feebate</w:t>
      </w:r>
      <w:r>
        <w:t xml:space="preserve"> </w:t>
      </w:r>
      <w:r>
        <w:t xml:space="preserve">contributes only to</w:t>
      </w:r>
      <w:r>
        <w:t xml:space="preserve"> </w:t>
      </w:r>
      <m:oMath>
        <m:sSubSup>
          <m:e>
            <m:r>
              <m:t>τ</m:t>
            </m:r>
          </m:e>
          <m:sub>
            <m:r>
              <m:rPr>
                <m:sty m:val="p"/>
              </m:rPr>
              <m:t>i</m:t>
            </m:r>
            <m:r>
              <m:rPr>
                <m:sty m:val="p"/>
              </m:rPr>
              <m:t>n</m:t>
            </m:r>
            <m:r>
              <m:rPr>
                <m:sty m:val="p"/>
              </m:rPr>
              <m:t>t</m:t>
            </m:r>
          </m:sub>
          <m:sup>
            <m:r>
              <m:rPr>
                <m:sty m:val="p"/>
              </m:rPr>
              <m:t>*</m:t>
            </m:r>
          </m:sup>
        </m:sSubSup>
      </m:oMath>
      <w:r>
        <w:t xml:space="preserve">. A pure quantity-side demand reduction</w:t>
      </w:r>
      <w:r>
        <w:t xml:space="preserve"> </w:t>
      </w:r>
      <w:r>
        <w:t xml:space="preserve">(e.g. a road pricing scheme that does not vary by fuel) contributes only to</w:t>
      </w:r>
      <w:r>
        <w:t xml:space="preserve"> </w:t>
      </w:r>
      <m:oMath>
        <m:sSubSup>
          <m:e>
            <m:r>
              <m:t>τ</m:t>
            </m:r>
          </m:e>
          <m:sub>
            <m:r>
              <m:rPr>
                <m:sty m:val="p"/>
              </m:rPr>
              <m:t>e</m:t>
            </m:r>
            <m:r>
              <m:rPr>
                <m:sty m:val="p"/>
              </m:rPr>
              <m:t>x</m:t>
            </m:r>
            <m:r>
              <m:rPr>
                <m:sty m:val="p"/>
              </m:rPr>
              <m:t>t</m:t>
            </m:r>
          </m:sub>
          <m:sup>
            <m:r>
              <m:rPr>
                <m:sty m:val="p"/>
              </m:rPr>
              <m:t>*</m:t>
            </m:r>
          </m:sup>
        </m:sSubSup>
      </m:oMath>
      <w:r>
        <w:t xml:space="preserve">. A carbon tax contributes to both, in proportions that</w:t>
      </w:r>
      <w:r>
        <w:t xml:space="preserve"> </w:t>
      </w:r>
      <w:r>
        <w:t xml:space="preserve">depend on the sector’s emission-factor variance.</w:t>
      </w:r>
    </w:p>
    <w:bookmarkEnd w:id="25"/>
    <w:bookmarkStart w:id="26" w:name="by-sector"/>
    <w:p>
      <w:pPr>
        <w:pStyle w:val="Heading2"/>
      </w:pPr>
      <w:r>
        <w:t xml:space="preserve">By sector</w:t>
      </w:r>
    </w:p>
    <w:p>
      <w:pPr>
        <w:pStyle w:val="FirstParagraph"/>
      </w:pPr>
      <w:r>
        <w:t xml:space="preserve">The TECP further decomposes by sector:</w:t>
      </w:r>
      <w:r>
        <w:t xml:space="preserve"> </w:t>
      </w:r>
      <m:oMath>
        <m:sSup>
          <m:e>
            <m:r>
              <m:t>τ</m:t>
            </m:r>
          </m:e>
          <m:sup>
            <m:r>
              <m:rPr>
                <m:sty m:val="p"/>
              </m:rPr>
              <m:t>*</m:t>
            </m:r>
          </m:sup>
        </m:sSup>
        <m:r>
          <m:rPr>
            <m:sty m:val="p"/>
          </m:rPr>
          <m:t>=</m:t>
        </m:r>
        <m:nary>
          <m:naryPr>
            <m:chr m:val="∑"/>
            <m:limLoc m:val="undOvr"/>
            <m:subHide m:val="off"/>
            <m:supHide m:val="on"/>
          </m:naryPr>
          <m:sub>
            <m:r>
              <m:t>s</m:t>
            </m:r>
          </m:sub>
          <m:sup>
            <m:r>
              <m:t>​</m:t>
            </m:r>
          </m:sup>
          <m:e>
            <m:sSubSup>
              <m:e>
                <m:r>
                  <m:t>τ</m:t>
                </m:r>
              </m:e>
              <m:sub>
                <m:r>
                  <m:t>s</m:t>
                </m:r>
              </m:sub>
              <m:sup>
                <m:r>
                  <m:rPr>
                    <m:sty m:val="p"/>
                  </m:rPr>
                  <m:t>*</m:t>
                </m:r>
              </m:sup>
            </m:sSubSup>
          </m:e>
        </m:nary>
      </m:oMath>
      <w:r>
        <w:t xml:space="preserve">. This</w:t>
      </w:r>
      <w:r>
        <w:t xml:space="preserve"> </w:t>
      </w:r>
      <w:r>
        <w:t xml:space="preserve">reveals where each instrument is doing the work. A carbon tax on industrial fuels</w:t>
      </w:r>
      <w:r>
        <w:t xml:space="preserve"> </w:t>
      </w:r>
      <w:r>
        <w:t xml:space="preserve">may contribute heavily to</w:t>
      </w:r>
      <w:r>
        <w:t xml:space="preserve"> </w:t>
      </w:r>
      <m:oMath>
        <m:sSup>
          <m:e>
            <m:r>
              <m:t>τ</m:t>
            </m:r>
          </m:e>
          <m:sup>
            <m:r>
              <m:rPr>
                <m:sty m:val="p"/>
              </m:rPr>
              <m:t>*</m:t>
            </m:r>
          </m:sup>
        </m:sSup>
      </m:oMath>
      <w:r>
        <w:t xml:space="preserve"> </w:t>
      </w:r>
      <w:r>
        <w:t xml:space="preserve">in industry and negligibly elsewhere. A</w:t>
      </w:r>
      <w:r>
        <w:t xml:space="preserve"> </w:t>
      </w:r>
      <w:r>
        <w:t xml:space="preserve">vehicle feebate contributes only to transport. Aggregating across instruments by</w:t>
      </w:r>
      <w:r>
        <w:t xml:space="preserve"> </w:t>
      </w:r>
      <w:r>
        <w:t xml:space="preserve">sector tells the policymaker which sectors are over- or under-priced relative to</w:t>
      </w:r>
      <w:r>
        <w:t xml:space="preserve"> </w:t>
      </w:r>
      <w:r>
        <w:t xml:space="preserve">their baseline emissions.</w:t>
      </w:r>
    </w:p>
    <w:bookmarkEnd w:id="26"/>
    <w:bookmarkStart w:id="27" w:name="special-cases"/>
    <w:p>
      <w:pPr>
        <w:pStyle w:val="Heading2"/>
      </w:pPr>
      <w:r>
        <w:t xml:space="preserve">Special cases</w:t>
      </w:r>
    </w:p>
    <w:p>
      <w:pPr>
        <w:pStyle w:val="FirstParagraph"/>
      </w:pPr>
      <w:r>
        <w:t xml:space="preserve">Three special cases anchor intuition. First, if all policies are removed,</w:t>
      </w:r>
      <w:r>
        <w:t xml:space="preserve"> </w:t>
      </w:r>
      <m:oMath>
        <m:sSup>
          <m:e>
            <m:r>
              <m:t>τ</m:t>
            </m:r>
          </m:e>
          <m:sup>
            <m:r>
              <m:rPr>
                <m:sty m:val="p"/>
              </m:rPr>
              <m:t>*</m:t>
            </m:r>
          </m:sup>
        </m:sSup>
        <m:r>
          <m:rPr>
            <m:sty m:val="p"/>
          </m:rPr>
          <m:t>=</m:t>
        </m:r>
        <m:r>
          <m:t>0</m:t>
        </m:r>
      </m:oMath>
      <w:r>
        <w:t xml:space="preserve">. Second, if the only policy is a uniform carbon tax at rate</w:t>
      </w:r>
      <w:r>
        <w:t xml:space="preserve"> </w:t>
      </w:r>
      <m:oMath>
        <m:r>
          <m:t>X</m:t>
        </m:r>
      </m:oMath>
      <w:r>
        <w:t xml:space="preserve">,</w:t>
      </w:r>
      <w:r>
        <w:t xml:space="preserve"> </w:t>
      </w:r>
      <w:r>
        <w:t xml:space="preserve">then</w:t>
      </w:r>
      <w:r>
        <w:t xml:space="preserve"> </w:t>
      </w:r>
      <m:oMath>
        <m:sSup>
          <m:e>
            <m:r>
              <m:t>τ</m:t>
            </m:r>
          </m:e>
          <m:sup>
            <m:r>
              <m:rPr>
                <m:sty m:val="p"/>
              </m:rPr>
              <m:t>*</m:t>
            </m:r>
          </m:sup>
        </m:sSup>
        <m:r>
          <m:rPr>
            <m:sty m:val="p"/>
          </m:rPr>
          <m:t>=</m:t>
        </m:r>
        <m:r>
          <m:t>X</m:t>
        </m:r>
      </m:oMath>
      <w:r>
        <w:t xml:space="preserve"> </w:t>
      </w:r>
      <w:r>
        <w:t xml:space="preserve">exactly. Third, if the policy package is a sequence of</w:t>
      </w:r>
      <w:r>
        <w:t xml:space="preserve"> </w:t>
      </w:r>
      <w:r>
        <w:t xml:space="preserve">overlapping instruments (e.g. a carbon tax plus a feebate),</w:t>
      </w:r>
      <w:r>
        <w:t xml:space="preserve"> </w:t>
      </w:r>
      <m:oMath>
        <m:sSup>
          <m:e>
            <m:r>
              <m:t>τ</m:t>
            </m:r>
          </m:e>
          <m:sup>
            <m:r>
              <m:rPr>
                <m:sty m:val="p"/>
              </m:rPr>
              <m:t>*</m:t>
            </m:r>
          </m:sup>
        </m:sSup>
      </m:oMath>
      <w:r>
        <w:t xml:space="preserve"> </w:t>
      </w:r>
      <w:r>
        <w:t xml:space="preserve">is the sum</w:t>
      </w:r>
      <w:r>
        <w:t xml:space="preserve"> </w:t>
      </w:r>
      <w:r>
        <w:t xml:space="preserve">of the carbon-tax-equivalents of each instrument.</w:t>
      </w:r>
    </w:p>
    <w:p>
      <w:pPr>
        <w:pStyle w:val="BodyText"/>
      </w:pPr>
      <w:r>
        <w:t xml:space="preserve">{{&lt; pagebreak &gt;}}</w:t>
      </w:r>
    </w:p>
    <w:bookmarkEnd w:id="27"/>
    <w:bookmarkEnd w:id="28"/>
    <w:bookmarkStart w:id="29" w:name="Xec29a0e62b91392d8990f00f5ffef4b31777242"/>
    <w:p>
      <w:pPr>
        <w:pStyle w:val="Heading1"/>
      </w:pPr>
      <w:r>
        <w:t xml:space="preserve">Part II — CES Energy Demand and Partial Adjustment</w:t>
      </w:r>
    </w:p>
    <w:bookmarkEnd w:id="29"/>
    <w:bookmarkStart w:id="33" w:name="the-demand-model"/>
    <w:p>
      <w:pPr>
        <w:pStyle w:val="Heading1"/>
      </w:pPr>
      <w:r>
        <w:t xml:space="preserve">The demand model</w:t>
      </w:r>
    </w:p>
    <w:bookmarkStart w:id="30" w:name="what-the-model-must-do"/>
    <w:p>
      <w:pPr>
        <w:pStyle w:val="Heading2"/>
      </w:pPr>
      <w:r>
        <w:t xml:space="preserve">What the model must do</w:t>
      </w:r>
    </w:p>
    <w:p>
      <w:pPr>
        <w:pStyle w:val="FirstParagraph"/>
      </w:pPr>
      <w:r>
        <w:t xml:space="preserve">The TECP requires a demand model underneath it. By</w:t>
      </w:r>
      <w:r>
        <w:t xml:space="preserve"> </w:t>
      </w:r>
      <w:r>
        <w:t xml:space="preserve">“demand model”</w:t>
      </w:r>
      <w:r>
        <w:t xml:space="preserve"> </w:t>
      </w:r>
      <w:r>
        <w:t xml:space="preserve">we mean</w:t>
      </w:r>
      <w:r>
        <w:t xml:space="preserve"> </w:t>
      </w:r>
      <w:r>
        <w:t xml:space="preserve">something specific: a structure that translates</w:t>
      </w:r>
      <w:r>
        <w:t xml:space="preserve"> </w:t>
      </w:r>
      <w:r>
        <w:t xml:space="preserve">“this policy changes the price of</w:t>
      </w:r>
      <w:r>
        <w:t xml:space="preserve"> </w:t>
      </w:r>
      <w:r>
        <w:t xml:space="preserve">fuel X by Y”</w:t>
      </w:r>
      <w:r>
        <w:t xml:space="preserve"> </w:t>
      </w:r>
      <w:r>
        <w:t xml:space="preserve">into</w:t>
      </w:r>
      <w:r>
        <w:t xml:space="preserve"> </w:t>
      </w:r>
      <w:r>
        <w:t xml:space="preserve">“this is how much emissions fall, and through which channel.”</w:t>
      </w:r>
      <w:r>
        <w:t xml:space="preserve"> </w:t>
      </w:r>
      <w:r>
        <w:t xml:space="preserve">The model must do three things. It must handle multiple fuels competing within a</w:t>
      </w:r>
      <w:r>
        <w:t xml:space="preserve"> </w:t>
      </w:r>
      <w:r>
        <w:t xml:space="preserve">sector. It must distinguish using less energy from switching to a different</w:t>
      </w:r>
      <w:r>
        <w:t xml:space="preserve"> </w:t>
      </w:r>
      <w:r>
        <w:t xml:space="preserve">energy source. And it must handle the fact that these responses take time.</w:t>
      </w:r>
    </w:p>
    <w:bookmarkEnd w:id="30"/>
    <w:bookmarkStart w:id="31" w:name="why-ces"/>
    <w:p>
      <w:pPr>
        <w:pStyle w:val="Heading2"/>
      </w:pPr>
      <w:r>
        <w:t xml:space="preserve">Why CES</w:t>
      </w:r>
    </w:p>
    <w:p>
      <w:pPr>
        <w:pStyle w:val="FirstParagraph"/>
      </w:pPr>
      <w:r>
        <w:t xml:space="preserve">A nested constant-elasticity-of-substitution (CES) structure does all three. At</w:t>
      </w:r>
      <w:r>
        <w:t xml:space="preserve"> </w:t>
      </w:r>
      <w:r>
        <w:t xml:space="preserve">the lower nest, fuels within a sector substitute against each other with</w:t>
      </w:r>
      <w:r>
        <w:t xml:space="preserve"> </w:t>
      </w:r>
      <w:r>
        <w:t xml:space="preserve">elasticity</w:t>
      </w:r>
      <w:r>
        <w:t xml:space="preserve"> </w:t>
      </w:r>
      <m:oMath>
        <m:r>
          <m:t>σ</m:t>
        </m:r>
      </m:oMath>
      <w:r>
        <w:t xml:space="preserve">. This captures the intensive margin — the degree to which a</w:t>
      </w:r>
      <w:r>
        <w:t xml:space="preserve"> </w:t>
      </w:r>
      <w:r>
        <w:t xml:space="preserve">price change on one fuel causes the economy to shift toward another. At the upper</w:t>
      </w:r>
      <w:r>
        <w:t xml:space="preserve"> </w:t>
      </w:r>
      <w:r>
        <w:t xml:space="preserve">nest, aggregate energy demand responds to the overall energy price with elasticity</w:t>
      </w:r>
      <w:r>
        <w:t xml:space="preserve"> </w:t>
      </w:r>
      <m:oMath>
        <m:r>
          <m:t>η</m:t>
        </m:r>
      </m:oMath>
      <w:r>
        <w:t xml:space="preserve">, capturing the extensive margin. The two nests interact: a carbon tax</w:t>
      </w:r>
      <w:r>
        <w:t xml:space="preserve"> </w:t>
      </w:r>
      <w:r>
        <w:t xml:space="preserve">raises the price of dirty fuels, which both reduces total energy demand (upper</w:t>
      </w:r>
      <w:r>
        <w:t xml:space="preserve"> </w:t>
      </w:r>
      <w:r>
        <w:t xml:space="preserve">nest) and shifts the fuel mix toward cleaner alternatives (lower nest). The</w:t>
      </w:r>
      <w:r>
        <w:t xml:space="preserve"> </w:t>
      </w:r>
      <w:r>
        <w:t xml:space="preserve">relative strength of these two effects depends on the elasticities, which vary by</w:t>
      </w:r>
      <w:r>
        <w:t xml:space="preserve"> </w:t>
      </w:r>
      <w:r>
        <w:t xml:space="preserve">sector and country.</w:t>
      </w:r>
    </w:p>
    <w:bookmarkEnd w:id="31"/>
    <w:bookmarkStart w:id="32" w:name="functional-form"/>
    <w:p>
      <w:pPr>
        <w:pStyle w:val="Heading2"/>
      </w:pPr>
      <w:r>
        <w:t xml:space="preserve">Functional form</w:t>
      </w:r>
    </w:p>
    <w:p>
      <w:pPr>
        <w:pStyle w:val="FirstParagraph"/>
      </w:pPr>
      <w:r>
        <w:t xml:space="preserve">Within sector</w:t>
      </w:r>
      <w:r>
        <w:t xml:space="preserve"> </w:t>
      </w:r>
      <m:oMath>
        <m:r>
          <m:t>s</m:t>
        </m:r>
      </m:oMath>
      <w:r>
        <w:t xml:space="preserve">, useful service</w:t>
      </w:r>
      <w:r>
        <w:t xml:space="preserve"> </w:t>
      </w:r>
      <m:oMath>
        <m:sSub>
          <m:e>
            <m:r>
              <m:t>Q</m:t>
            </m:r>
          </m:e>
          <m:sub>
            <m:r>
              <m:t>s</m:t>
            </m:r>
          </m:sub>
        </m:sSub>
      </m:oMath>
      <w:r>
        <w:t xml:space="preserve"> </w:t>
      </w:r>
      <w:r>
        <w:t xml:space="preserve">is produced from fuels indexed by</w:t>
      </w:r>
      <w:r>
        <w:t xml:space="preserve"> </w:t>
      </w:r>
      <m:oMath>
        <m:r>
          <m:t>f</m:t>
        </m:r>
      </m:oMath>
      <w:r>
        <w:t xml:space="preserve"> </w:t>
      </w:r>
      <w:r>
        <w:t xml:space="preserve">via</w:t>
      </w:r>
      <w:r>
        <w:t xml:space="preserve"> </w:t>
      </w:r>
      <w:r>
        <w:t xml:space="preserve">the CES aggregator:</w:t>
      </w:r>
    </w:p>
    <w:p>
      <w:pPr>
        <w:pStyle w:val="BodyText"/>
      </w:pPr>
      <m:oMathPara>
        <m:oMathParaPr>
          <m:jc m:val="center"/>
        </m:oMathParaPr>
        <m:oMath>
          <m:sSub>
            <m:e>
              <m:r>
                <m:t>Q</m:t>
              </m:r>
            </m:e>
            <m:sub>
              <m:r>
                <m:t>s</m:t>
              </m:r>
            </m:sub>
          </m:sSub>
          <m:r>
            <m:t> </m:t>
          </m:r>
          <m:r>
            <m:rPr>
              <m:sty m:val="p"/>
            </m:rPr>
            <m:t>=</m:t>
          </m:r>
          <m:r>
            <m:t> </m:t>
          </m:r>
          <m:sSup>
            <m:e>
              <m:d>
                <m:dPr>
                  <m:begChr m:val="["/>
                  <m:sepChr m:val=""/>
                  <m:endChr m:val="]"/>
                  <m:grow/>
                </m:dPr>
                <m:e>
                  <m:r>
                    <m:t> </m:t>
                  </m:r>
                  <m:nary>
                    <m:naryPr>
                      <m:chr m:val="∑"/>
                      <m:limLoc m:val="undOvr"/>
                      <m:subHide m:val="off"/>
                      <m:supHide m:val="on"/>
                    </m:naryPr>
                    <m:sub>
                      <m:r>
                        <m:t>f</m:t>
                      </m:r>
                    </m:sub>
                    <m:sup>
                      <m:r>
                        <m:t>​</m:t>
                      </m:r>
                    </m:sup>
                    <m:e>
                      <m:sSubSup>
                        <m:e>
                          <m:r>
                            <m:t>α</m:t>
                          </m:r>
                        </m:e>
                        <m:sub>
                          <m:r>
                            <m:t>f</m:t>
                          </m:r>
                          <m:r>
                            <m:t>s</m:t>
                          </m:r>
                        </m:sub>
                        <m:sup>
                          <m:r>
                            <m:t> </m:t>
                          </m:r>
                          <m:r>
                            <m:t>1</m:t>
                          </m:r>
                          <m:r>
                            <m:rPr>
                              <m:sty m:val="p"/>
                            </m:rPr>
                            <m:t>/</m:t>
                          </m:r>
                          <m:sSub>
                            <m:e>
                              <m:r>
                                <m:t>σ</m:t>
                              </m:r>
                            </m:e>
                            <m:sub>
                              <m:r>
                                <m:t>s</m:t>
                              </m:r>
                            </m:sub>
                          </m:sSub>
                        </m:sup>
                      </m:sSubSup>
                    </m:e>
                  </m:nary>
                  <m:r>
                    <m:rPr>
                      <m:sty m:val="p"/>
                    </m:rPr>
                    <m:t>⋅</m:t>
                  </m:r>
                  <m:r>
                    <m:rPr>
                      <m:sty m:val="p"/>
                    </m:rPr>
                    <m:t>(</m:t>
                  </m:r>
                  <m:sSub>
                    <m:e>
                      <m:r>
                        <m:t>φ</m:t>
                      </m:r>
                    </m:e>
                    <m:sub>
                      <m:r>
                        <m:t>f</m:t>
                      </m:r>
                      <m:r>
                        <m:t>s</m:t>
                      </m:r>
                    </m:sub>
                  </m:sSub>
                  <m:r>
                    <m:rPr>
                      <m:sty m:val="p"/>
                    </m:rPr>
                    <m:t>⋅</m:t>
                  </m:r>
                  <m:sSub>
                    <m:e>
                      <m:r>
                        <m:t>q</m:t>
                      </m:r>
                    </m:e>
                    <m:sub>
                      <m:r>
                        <m:t>f</m:t>
                      </m:r>
                      <m:r>
                        <m:t>s</m:t>
                      </m:r>
                    </m:sub>
                  </m:sSub>
                  <m:sSup>
                    <m:e>
                      <m:r>
                        <m:rPr>
                          <m:sty m:val="p"/>
                        </m:rPr>
                        <m:t>)</m:t>
                      </m:r>
                    </m:e>
                    <m:sup>
                      <m:r>
                        <m:rPr>
                          <m:sty m:val="p"/>
                        </m:rPr>
                        <m:t>(</m:t>
                      </m:r>
                      <m:sSub>
                        <m:e>
                          <m:r>
                            <m:t>σ</m:t>
                          </m:r>
                        </m:e>
                        <m:sub>
                          <m:r>
                            <m:t>s</m:t>
                          </m:r>
                        </m:sub>
                      </m:sSub>
                      <m:r>
                        <m:rPr>
                          <m:sty m:val="p"/>
                        </m:rPr>
                        <m:t>−</m:t>
                      </m:r>
                      <m:r>
                        <m:t>1</m:t>
                      </m:r>
                      <m:r>
                        <m:rPr>
                          <m:sty m:val="p"/>
                        </m:rPr>
                        <m:t>)</m:t>
                      </m:r>
                      <m:r>
                        <m:rPr>
                          <m:sty m:val="p"/>
                        </m:rPr>
                        <m:t>/</m:t>
                      </m:r>
                      <m:sSub>
                        <m:e>
                          <m:r>
                            <m:t>σ</m:t>
                          </m:r>
                        </m:e>
                        <m:sub>
                          <m:r>
                            <m:t>s</m:t>
                          </m:r>
                        </m:sub>
                      </m:sSub>
                    </m:sup>
                  </m:sSup>
                </m:e>
              </m:d>
            </m:e>
            <m:sup>
              <m:sSub>
                <m:e>
                  <m:r>
                    <m:t>σ</m:t>
                  </m:r>
                </m:e>
                <m:sub>
                  <m:r>
                    <m:t>s</m:t>
                  </m:r>
                </m:sub>
              </m:sSub>
              <m:r>
                <m:rPr>
                  <m:sty m:val="p"/>
                </m:rPr>
                <m:t>/</m:t>
              </m:r>
              <m:r>
                <m:rPr>
                  <m:sty m:val="p"/>
                </m:rPr>
                <m:t>(</m:t>
              </m:r>
              <m:sSub>
                <m:e>
                  <m:r>
                    <m:t>σ</m:t>
                  </m:r>
                </m:e>
                <m:sub>
                  <m:r>
                    <m:t>s</m:t>
                  </m:r>
                </m:sub>
              </m:sSub>
              <m:r>
                <m:rPr>
                  <m:sty m:val="p"/>
                </m:rPr>
                <m:t>−</m:t>
              </m:r>
              <m:r>
                <m:t>1</m:t>
              </m:r>
              <m:r>
                <m:rPr>
                  <m:sty m:val="p"/>
                </m:rPr>
                <m:t>)</m:t>
              </m:r>
            </m:sup>
          </m:sSup>
        </m:oMath>
      </m:oMathPara>
    </w:p>
    <w:p>
      <w:pPr>
        <w:pStyle w:val="FirstParagraph"/>
      </w:pPr>
      <w:r>
        <w:t xml:space="preserve">{#eq-ces-aggregator}</w:t>
      </w:r>
    </w:p>
    <w:p>
      <w:pPr>
        <w:pStyle w:val="BodyText"/>
      </w:pPr>
      <w:r>
        <w:t xml:space="preserve">where</w:t>
      </w:r>
      <w:r>
        <w:t xml:space="preserve"> </w:t>
      </w:r>
      <m:oMath>
        <m:sSub>
          <m:e>
            <m:r>
              <m:t>q</m:t>
            </m:r>
          </m:e>
          <m:sub>
            <m:r>
              <m:t>f</m:t>
            </m:r>
            <m:r>
              <m:t>s</m:t>
            </m:r>
          </m:sub>
        </m:sSub>
      </m:oMath>
      <w:r>
        <w:t xml:space="preserve"> </w:t>
      </w:r>
      <w:r>
        <w:t xml:space="preserve">is physical input of fuel</w:t>
      </w:r>
      <w:r>
        <w:t xml:space="preserve"> </w:t>
      </w:r>
      <m:oMath>
        <m:r>
          <m:t>f</m:t>
        </m:r>
      </m:oMath>
      <w:r>
        <w:t xml:space="preserve">,</w:t>
      </w:r>
      <w:r>
        <w:t xml:space="preserve"> </w:t>
      </w:r>
      <m:oMath>
        <m:sSub>
          <m:e>
            <m:r>
              <m:t>φ</m:t>
            </m:r>
          </m:e>
          <m:sub>
            <m:r>
              <m:t>f</m:t>
            </m:r>
            <m:r>
              <m:t>s</m:t>
            </m:r>
          </m:sub>
        </m:sSub>
      </m:oMath>
      <w:r>
        <w:t xml:space="preserve"> </w:t>
      </w:r>
      <w:r>
        <w:t xml:space="preserve">the technical</w:t>
      </w:r>
      <w:r>
        <w:t xml:space="preserve"> </w:t>
      </w:r>
      <w:r>
        <w:t xml:space="preserve">conversion efficiency to useful service, and</w:t>
      </w:r>
      <w:r>
        <w:t xml:space="preserve"> </w:t>
      </w:r>
      <m:oMath>
        <m:sSub>
          <m:e>
            <m:r>
              <m:t>α</m:t>
            </m:r>
          </m:e>
          <m:sub>
            <m:r>
              <m:t>f</m:t>
            </m:r>
            <m:r>
              <m:t>s</m:t>
            </m:r>
          </m:sub>
        </m:sSub>
      </m:oMath>
      <w:r>
        <w:t xml:space="preserve"> </w:t>
      </w:r>
      <w:r>
        <w:t xml:space="preserve">the share parameter</w:t>
      </w:r>
      <w:r>
        <w:t xml:space="preserve"> </w:t>
      </w:r>
      <w:r>
        <w:t xml:space="preserve">calibrated from base-year energy shares. Cost minimisation yields fuel demand:</w:t>
      </w:r>
    </w:p>
    <w:p>
      <w:pPr>
        <w:pStyle w:val="BodyText"/>
      </w:pPr>
      <m:oMathPara>
        <m:oMathParaPr>
          <m:jc m:val="center"/>
        </m:oMathParaPr>
        <m:oMath>
          <m:sSub>
            <m:e>
              <m:r>
                <m:t>q</m:t>
              </m:r>
            </m:e>
            <m:sub>
              <m:r>
                <m:t>f</m:t>
              </m:r>
              <m:r>
                <m:t>s</m:t>
              </m:r>
            </m:sub>
          </m:sSub>
          <m:r>
            <m:t> </m:t>
          </m:r>
          <m:r>
            <m:rPr>
              <m:sty m:val="p"/>
            </m:rPr>
            <m:t>=</m:t>
          </m:r>
          <m:r>
            <m:t> </m:t>
          </m:r>
          <m:sSub>
            <m:e>
              <m:r>
                <m:t>Q</m:t>
              </m:r>
            </m:e>
            <m:sub>
              <m:r>
                <m:t>s</m:t>
              </m:r>
            </m:sub>
          </m:sSub>
          <m:r>
            <m:rPr>
              <m:sty m:val="p"/>
            </m:rPr>
            <m:t>⋅</m:t>
          </m:r>
          <m:r>
            <m:rPr>
              <m:sty m:val="p"/>
            </m:rPr>
            <m:t>(</m:t>
          </m:r>
          <m:sSub>
            <m:e>
              <m:r>
                <m:t>α</m:t>
              </m:r>
            </m:e>
            <m:sub>
              <m:r>
                <m:t>f</m:t>
              </m:r>
              <m:r>
                <m:t>s</m:t>
              </m:r>
            </m:sub>
          </m:sSub>
          <m:r>
            <m:rPr>
              <m:sty m:val="p"/>
            </m:rPr>
            <m:t>/</m:t>
          </m:r>
          <m:sSub>
            <m:e>
              <m:r>
                <m:t>φ</m:t>
              </m:r>
            </m:e>
            <m:sub>
              <m:r>
                <m:t>f</m:t>
              </m:r>
              <m:r>
                <m:t>s</m:t>
              </m:r>
            </m:sub>
          </m:sSub>
          <m:r>
            <m:rPr>
              <m:sty m:val="p"/>
            </m:rPr>
            <m:t>)</m:t>
          </m:r>
          <m:r>
            <m:rPr>
              <m:sty m:val="p"/>
            </m:rPr>
            <m:t>⋅</m:t>
          </m:r>
          <m:r>
            <m:rPr>
              <m:sty m:val="p"/>
            </m:rPr>
            <m:t>(</m:t>
          </m:r>
          <m:sSub>
            <m:e>
              <m:acc>
                <m:accPr>
                  <m:chr m:val="̃"/>
                </m:accPr>
                <m:e>
                  <m:r>
                    <m:t>p</m:t>
                  </m:r>
                </m:e>
              </m:acc>
            </m:e>
            <m:sub>
              <m:r>
                <m:t>f</m:t>
              </m:r>
              <m:r>
                <m:t>s</m:t>
              </m:r>
            </m:sub>
          </m:sSub>
          <m:r>
            <m:rPr>
              <m:sty m:val="p"/>
            </m:rPr>
            <m:t>/</m:t>
          </m:r>
          <m:sSub>
            <m:e>
              <m:r>
                <m:t>C</m:t>
              </m:r>
            </m:e>
            <m:sub>
              <m:r>
                <m:t>s</m:t>
              </m:r>
            </m:sub>
          </m:sSub>
          <m:sSup>
            <m:e>
              <m:r>
                <m:rPr>
                  <m:sty m:val="p"/>
                </m:rPr>
                <m:t>)</m:t>
              </m:r>
            </m:e>
            <m:sup>
              <m:r>
                <m:rPr>
                  <m:sty m:val="p"/>
                </m:rPr>
                <m:t>−</m:t>
              </m:r>
              <m:sSub>
                <m:e>
                  <m:r>
                    <m:t>σ</m:t>
                  </m:r>
                </m:e>
                <m:sub>
                  <m:r>
                    <m:t>s</m:t>
                  </m:r>
                </m:sub>
              </m:sSub>
            </m:sup>
          </m:sSup>
        </m:oMath>
      </m:oMathPara>
    </w:p>
    <w:p>
      <w:pPr>
        <w:pStyle w:val="FirstParagraph"/>
      </w:pPr>
      <w:r>
        <w:t xml:space="preserve">{#eq-fuel-demand}</w:t>
      </w:r>
    </w:p>
    <w:p>
      <w:pPr>
        <w:pStyle w:val="BodyText"/>
      </w:pPr>
      <w:r>
        <w:t xml:space="preserve">where</w:t>
      </w:r>
      <w:r>
        <w:t xml:space="preserve"> </w:t>
      </w:r>
      <m:oMath>
        <m:sSub>
          <m:e>
            <m:acc>
              <m:accPr>
                <m:chr m:val="̃"/>
              </m:accPr>
              <m:e>
                <m:r>
                  <m:t>p</m:t>
                </m:r>
              </m:e>
            </m:acc>
          </m:e>
          <m:sub>
            <m:r>
              <m:t>f</m:t>
            </m:r>
            <m:r>
              <m:t>s</m:t>
            </m:r>
          </m:sub>
        </m:sSub>
        <m:r>
          <m:rPr>
            <m:sty m:val="p"/>
          </m:rPr>
          <m:t>=</m:t>
        </m:r>
        <m:sSub>
          <m:e>
            <m:r>
              <m:t>p</m:t>
            </m:r>
          </m:e>
          <m:sub>
            <m:r>
              <m:t>f</m:t>
            </m:r>
            <m:r>
              <m:t>s</m:t>
            </m:r>
          </m:sub>
        </m:sSub>
        <m:r>
          <m:rPr>
            <m:sty m:val="p"/>
          </m:rPr>
          <m:t>/</m:t>
        </m:r>
        <m:sSub>
          <m:e>
            <m:r>
              <m:t>φ</m:t>
            </m:r>
          </m:e>
          <m:sub>
            <m:r>
              <m:t>f</m:t>
            </m:r>
            <m:r>
              <m:t>s</m:t>
            </m:r>
          </m:sub>
        </m:sSub>
      </m:oMath>
      <w:r>
        <w:t xml:space="preserve"> </w:t>
      </w:r>
      <w:r>
        <w:t xml:space="preserve">is the effective price (per unit of</w:t>
      </w:r>
      <w:r>
        <w:t xml:space="preserve"> </w:t>
      </w:r>
      <w:r>
        <w:t xml:space="preserve">useful service) and</w:t>
      </w:r>
      <w:r>
        <w:t xml:space="preserve"> </w:t>
      </w:r>
      <m:oMath>
        <m:sSub>
          <m:e>
            <m:r>
              <m:t>C</m:t>
            </m:r>
          </m:e>
          <m:sub>
            <m:r>
              <m:t>s</m:t>
            </m:r>
          </m:sub>
        </m:sSub>
      </m:oMath>
      <w:r>
        <w:t xml:space="preserve"> </w:t>
      </w:r>
      <w:r>
        <w:t xml:space="preserve">is the CES unit cost index. At the upper nest, service</w:t>
      </w:r>
      <w:r>
        <w:t xml:space="preserve"> </w:t>
      </w:r>
      <w:r>
        <w:t xml:space="preserve">demand responds to</w:t>
      </w:r>
      <w:r>
        <w:t xml:space="preserve"> </w:t>
      </w:r>
      <m:oMath>
        <m:sSub>
          <m:e>
            <m:r>
              <m:t>C</m:t>
            </m:r>
          </m:e>
          <m:sub>
            <m:r>
              <m:t>s</m:t>
            </m:r>
          </m:sub>
        </m:sSub>
      </m:oMath>
      <w:r>
        <w:t xml:space="preserve"> </w:t>
      </w:r>
      <w:r>
        <w:t xml:space="preserve">with elasticity</w:t>
      </w:r>
      <w:r>
        <w:t xml:space="preserve"> </w:t>
      </w:r>
      <m:oMath>
        <m:r>
          <m:t>η</m:t>
        </m:r>
      </m:oMath>
      <w:r>
        <w:t xml:space="preserve">:</w:t>
      </w:r>
    </w:p>
    <w:p>
      <w:pPr>
        <w:pStyle w:val="BodyText"/>
      </w:pPr>
      <m:oMathPara>
        <m:oMathParaPr>
          <m:jc m:val="center"/>
        </m:oMathParaPr>
        <m:oMath>
          <m:sSub>
            <m:e>
              <m:r>
                <m:t>Q</m:t>
              </m:r>
            </m:e>
            <m:sub>
              <m:r>
                <m:t>s</m:t>
              </m:r>
            </m:sub>
          </m:sSub>
          <m:r>
            <m:t> </m:t>
          </m:r>
          <m:r>
            <m:rPr>
              <m:sty m:val="p"/>
            </m:rPr>
            <m:t>=</m:t>
          </m:r>
          <m:r>
            <m:t> </m:t>
          </m:r>
          <m:sSub>
            <m:e>
              <m:acc>
                <m:accPr>
                  <m:chr m:val="‾"/>
                </m:accPr>
                <m:e>
                  <m:r>
                    <m:t>Q</m:t>
                  </m:r>
                </m:e>
              </m:acc>
            </m:e>
            <m:sub>
              <m:r>
                <m:t>s</m:t>
              </m:r>
            </m:sub>
          </m:sSub>
          <m:r>
            <m:rPr>
              <m:sty m:val="p"/>
            </m:rPr>
            <m:t>⋅</m:t>
          </m:r>
          <m:r>
            <m:rPr>
              <m:sty m:val="p"/>
            </m:rPr>
            <m:t>(</m:t>
          </m:r>
          <m:sSub>
            <m:e>
              <m:r>
                <m:t>C</m:t>
              </m:r>
            </m:e>
            <m:sub>
              <m:r>
                <m:t>s</m:t>
              </m:r>
            </m:sub>
          </m:sSub>
          <m:r>
            <m:rPr>
              <m:sty m:val="p"/>
            </m:rPr>
            <m:t>/</m:t>
          </m:r>
          <m:sSub>
            <m:e>
              <m:acc>
                <m:accPr>
                  <m:chr m:val="‾"/>
                </m:accPr>
                <m:e>
                  <m:r>
                    <m:t>C</m:t>
                  </m:r>
                </m:e>
              </m:acc>
            </m:e>
            <m:sub>
              <m:r>
                <m:t>s</m:t>
              </m:r>
            </m:sub>
          </m:sSub>
          <m:sSup>
            <m:e>
              <m:r>
                <m:rPr>
                  <m:sty m:val="p"/>
                </m:rPr>
                <m:t>)</m:t>
              </m:r>
            </m:e>
            <m:sup>
              <m:r>
                <m:rPr>
                  <m:sty m:val="p"/>
                </m:rPr>
                <m:t>−</m:t>
              </m:r>
              <m:sSub>
                <m:e>
                  <m:r>
                    <m:t>η</m:t>
                  </m:r>
                </m:e>
                <m:sub>
                  <m:r>
                    <m:t>s</m:t>
                  </m:r>
                </m:sub>
              </m:sSub>
            </m:sup>
          </m:sSup>
        </m:oMath>
      </m:oMathPara>
    </w:p>
    <w:p>
      <w:pPr>
        <w:pStyle w:val="FirstParagraph"/>
      </w:pPr>
      <w:r>
        <w:t xml:space="preserve">{#eq-upper-nest}</w:t>
      </w:r>
    </w:p>
    <w:bookmarkEnd w:id="32"/>
    <w:bookmarkEnd w:id="33"/>
    <w:bookmarkStart w:id="36" w:name="local-equivalence-with-isoelastic-demand"/>
    <w:p>
      <w:pPr>
        <w:pStyle w:val="Heading1"/>
      </w:pPr>
      <w:r>
        <w:t xml:space="preserve">Local equivalence with isoelastic demand</w:t>
      </w:r>
    </w:p>
    <w:bookmarkStart w:id="34" w:name="the-relationship"/>
    <w:p>
      <w:pPr>
        <w:pStyle w:val="Heading2"/>
      </w:pPr>
      <w:r>
        <w:t xml:space="preserve">The relationship</w:t>
      </w:r>
    </w:p>
    <w:p>
      <w:pPr>
        <w:pStyle w:val="FirstParagraph"/>
      </w:pPr>
      <w:r>
        <w:t xml:space="preserve">A CES is isoelastic in a specific sense. The substitution elasticity is constant</w:t>
      </w:r>
      <w:r>
        <w:t xml:space="preserve"> </w:t>
      </w:r>
      <w:r>
        <w:t xml:space="preserve">by construction, and if paired with a constant-elasticity demand at the upper</w:t>
      </w:r>
      <w:r>
        <w:t xml:space="preserve"> </w:t>
      </w:r>
      <w:r>
        <w:t xml:space="preserve">nest, the system is isoelastic in its component elasticities. The composite</w:t>
      </w:r>
      <w:r>
        <w:t xml:space="preserve"> </w:t>
      </w:r>
      <w:r>
        <w:t xml:space="preserve">emissions response to a carbon price is not exactly isoelastic — because a uniform</w:t>
      </w:r>
      <w:r>
        <w:t xml:space="preserve"> </w:t>
      </w:r>
      <w:r>
        <w:t xml:space="preserve">carbon tax adds</w:t>
      </w:r>
      <w:r>
        <w:t xml:space="preserve"> </w:t>
      </w:r>
      <m:oMath>
        <m:r>
          <m:t>τ</m:t>
        </m:r>
        <m:r>
          <m:rPr>
            <m:sty m:val="p"/>
          </m:rPr>
          <m:t>⋅</m:t>
        </m:r>
        <m:sSub>
          <m:e>
            <m:r>
              <m:t>e</m:t>
            </m:r>
          </m:e>
          <m:sub>
            <m:r>
              <m:t>f</m:t>
            </m:r>
            <m:r>
              <m:t>s</m:t>
            </m:r>
          </m:sub>
        </m:sSub>
      </m:oMath>
      <w:r>
        <w:t xml:space="preserve"> </w:t>
      </w:r>
      <w:r>
        <w:t xml:space="preserve">to each fuel, a larger percentage increase for</w:t>
      </w:r>
      <w:r>
        <w:t xml:space="preserve"> </w:t>
      </w:r>
      <w:r>
        <w:t xml:space="preserve">cheap high-carbon fuels than for expensive low-carbon ones — but the decomposition</w:t>
      </w:r>
      <w:r>
        <w:t xml:space="preserve"> </w:t>
      </w:r>
      <w:r>
        <w:t xml:space="preserve">into intensive and extensive channels is approximately isoelastic over a useful</w:t>
      </w:r>
      <w:r>
        <w:t xml:space="preserve"> </w:t>
      </w:r>
      <w:r>
        <w:t xml:space="preserve">range.</w:t>
      </w:r>
    </w:p>
    <w:bookmarkEnd w:id="34"/>
    <w:bookmarkStart w:id="35" w:name="the-conversion-chain"/>
    <w:p>
      <w:pPr>
        <w:pStyle w:val="Heading2"/>
      </w:pPr>
      <w:r>
        <w:t xml:space="preserve">The conversion chain</w:t>
      </w:r>
    </w:p>
    <w:p>
      <w:pPr>
        <w:pStyle w:val="FirstParagraph"/>
      </w:pPr>
      <w:r>
        <w:t xml:space="preserve">For any base point, CES → isoelastic → semi-elasticity is a sequence of local</w:t>
      </w:r>
      <w:r>
        <w:t xml:space="preserve"> </w:t>
      </w:r>
      <w:r>
        <w:t xml:space="preserve">linearisations:</w:t>
      </w:r>
    </w:p>
    <w:p>
      <w:pPr>
        <w:pStyle w:val="Compact"/>
        <w:numPr>
          <w:ilvl w:val="0"/>
          <w:numId w:val="1004"/>
        </w:numPr>
      </w:pPr>
      <w:r>
        <w:rPr>
          <w:b/>
          <w:bCs/>
        </w:rPr>
        <w:t xml:space="preserve">Step 1.</w:t>
      </w:r>
      <w:r>
        <w:t xml:space="preserve"> </w:t>
      </w:r>
      <w:r>
        <w:t xml:space="preserve">From CES:</w:t>
      </w:r>
      <w:r>
        <w:t xml:space="preserve"> </w:t>
      </w:r>
      <m:oMath>
        <m:sSub>
          <m:e>
            <m:r>
              <m:t>ε</m:t>
            </m:r>
          </m:e>
          <m:sub>
            <m:r>
              <m:rPr>
                <m:sty m:val="p"/>
              </m:rPr>
              <m:t>i</m:t>
            </m:r>
            <m:r>
              <m:rPr>
                <m:sty m:val="p"/>
              </m:rPr>
              <m:t>n</m:t>
            </m:r>
            <m:r>
              <m:rPr>
                <m:sty m:val="p"/>
              </m:rPr>
              <m:t>t</m:t>
            </m:r>
            <m:r>
              <m:rPr>
                <m:sty m:val="p"/>
              </m:rPr>
              <m:t>e</m:t>
            </m:r>
            <m:r>
              <m:rPr>
                <m:sty m:val="p"/>
              </m:rPr>
              <m:t>n</m:t>
            </m:r>
            <m:r>
              <m:rPr>
                <m:sty m:val="p"/>
              </m:rPr>
              <m:t>s</m:t>
            </m:r>
            <m:r>
              <m:rPr>
                <m:sty m:val="p"/>
              </m:rPr>
              <m:t>i</m:t>
            </m:r>
            <m:r>
              <m:rPr>
                <m:sty m:val="p"/>
              </m:rPr>
              <m:t>v</m:t>
            </m:r>
            <m:r>
              <m:rPr>
                <m:sty m:val="p"/>
              </m:rPr>
              <m:t>e</m:t>
            </m:r>
          </m:sub>
        </m:sSub>
        <m:r>
          <m:rPr>
            <m:sty m:val="p"/>
          </m:rPr>
          <m:t>=</m:t>
        </m:r>
        <m:r>
          <m:rPr>
            <m:sty m:val="p"/>
          </m:rPr>
          <m:t>−</m:t>
        </m:r>
        <m:r>
          <m:t>σ</m:t>
        </m:r>
        <m:r>
          <m:rPr>
            <m:sty m:val="p"/>
          </m:rPr>
          <m:t>⋅</m:t>
        </m:r>
        <m:r>
          <m:rPr>
            <m:sty m:val="p"/>
          </m:rPr>
          <m:t>(</m:t>
        </m:r>
        <m:r>
          <m:t>1</m:t>
        </m:r>
        <m:r>
          <m:rPr>
            <m:sty m:val="p"/>
          </m:rPr>
          <m:t>−</m:t>
        </m:r>
        <m:acc>
          <m:accPr>
            <m:chr m:val="̂"/>
          </m:accPr>
          <m:e>
            <m:r>
              <m:t>w</m:t>
            </m:r>
          </m:e>
        </m:acc>
        <m:r>
          <m:rPr>
            <m:sty m:val="p"/>
          </m:rPr>
          <m:t>)</m:t>
        </m:r>
      </m:oMath>
      <w:r>
        <w:t xml:space="preserve">,</w:t>
      </w:r>
      <w:r>
        <w:t xml:space="preserve"> </w:t>
      </w:r>
      <w:r>
        <w:t xml:space="preserve">where</w:t>
      </w:r>
      <w:r>
        <w:t xml:space="preserve"> </w:t>
      </w:r>
      <m:oMath>
        <m:acc>
          <m:accPr>
            <m:chr m:val="̂"/>
          </m:accPr>
          <m:e>
            <m:r>
              <m:t>w</m:t>
            </m:r>
          </m:e>
        </m:acc>
      </m:oMath>
      <w:r>
        <w:t xml:space="preserve"> </w:t>
      </w:r>
      <w:r>
        <w:t xml:space="preserve">is the service share.</w:t>
      </w:r>
      <w:r>
        <w:t xml:space="preserve"> </w:t>
      </w:r>
      <m:oMath>
        <m:sSub>
          <m:e>
            <m:r>
              <m:t>ε</m:t>
            </m:r>
          </m:e>
          <m:sub>
            <m:r>
              <m:rPr>
                <m:sty m:val="p"/>
              </m:rPr>
              <m:t>e</m:t>
            </m:r>
            <m:r>
              <m:rPr>
                <m:sty m:val="p"/>
              </m:rPr>
              <m:t>x</m:t>
            </m:r>
            <m:r>
              <m:rPr>
                <m:sty m:val="p"/>
              </m:rPr>
              <m:t>t</m:t>
            </m:r>
            <m:r>
              <m:rPr>
                <m:sty m:val="p"/>
              </m:rPr>
              <m:t>e</m:t>
            </m:r>
            <m:r>
              <m:rPr>
                <m:sty m:val="p"/>
              </m:rPr>
              <m:t>n</m:t>
            </m:r>
            <m:r>
              <m:rPr>
                <m:sty m:val="p"/>
              </m:rPr>
              <m:t>s</m:t>
            </m:r>
            <m:r>
              <m:rPr>
                <m:sty m:val="p"/>
              </m:rPr>
              <m:t>i</m:t>
            </m:r>
            <m:r>
              <m:rPr>
                <m:sty m:val="p"/>
              </m:rPr>
              <m:t>v</m:t>
            </m:r>
            <m:r>
              <m:rPr>
                <m:sty m:val="p"/>
              </m:rPr>
              <m:t>e</m:t>
            </m:r>
          </m:sub>
        </m:sSub>
        <m:r>
          <m:rPr>
            <m:sty m:val="p"/>
          </m:rPr>
          <m:t>=</m:t>
        </m:r>
        <m:r>
          <m:rPr>
            <m:sty m:val="p"/>
          </m:rPr>
          <m:t>−</m:t>
        </m:r>
        <m:r>
          <m:t>η</m:t>
        </m:r>
      </m:oMath>
      <w:r>
        <w:t xml:space="preserve">.</w:t>
      </w:r>
    </w:p>
    <w:p>
      <w:pPr>
        <w:pStyle w:val="Compact"/>
        <w:numPr>
          <w:ilvl w:val="0"/>
          <w:numId w:val="1004"/>
        </w:numPr>
      </w:pPr>
      <w:r>
        <w:rPr>
          <w:b/>
          <w:bCs/>
        </w:rPr>
        <w:t xml:space="preserve">Step 2.</w:t>
      </w:r>
      <w:r>
        <w:t xml:space="preserve"> </w:t>
      </w:r>
      <w:r>
        <w:t xml:space="preserve">From isoelastic: at the base point, semi-elasticities</w:t>
      </w:r>
      <w:r>
        <w:t xml:space="preserve"> </w:t>
      </w:r>
      <m:oMath>
        <m:acc>
          <m:accPr>
            <m:chr m:val="̃"/>
          </m:accPr>
          <m:e>
            <m:r>
              <m:t>ε</m:t>
            </m:r>
          </m:e>
        </m:acc>
        <m:r>
          <m:rPr>
            <m:sty m:val="p"/>
          </m:rPr>
          <m:t>=</m:t>
        </m:r>
        <m:r>
          <m:t>ε</m:t>
        </m:r>
        <m:r>
          <m:rPr>
            <m:sty m:val="p"/>
          </m:rPr>
          <m:t>/</m:t>
        </m:r>
        <m:acc>
          <m:accPr>
            <m:chr m:val="̃"/>
          </m:accPr>
          <m:e>
            <m:r>
              <m:t>p</m:t>
            </m:r>
          </m:e>
        </m:acc>
      </m:oMath>
      <w:r>
        <w:t xml:space="preserve">.</w:t>
      </w:r>
    </w:p>
    <w:p>
      <w:pPr>
        <w:pStyle w:val="Compact"/>
        <w:numPr>
          <w:ilvl w:val="0"/>
          <w:numId w:val="1004"/>
        </w:numPr>
      </w:pPr>
      <w:r>
        <w:rPr>
          <w:b/>
          <w:bCs/>
        </w:rPr>
        <w:t xml:space="preserve">Step 3.</w:t>
      </w:r>
      <w:r>
        <w:t xml:space="preserve"> </w:t>
      </w:r>
      <w:r>
        <w:t xml:space="preserve">Use semi-elasticities to combine policy prices in</w:t>
      </w:r>
      <w:r>
        <w:t xml:space="preserve"> </w:t>
      </w:r>
      <w:r>
        <w:t xml:space="preserve">$/tCO</w:t>
      </w:r>
      <w:r>
        <w:rPr>
          <w:vertAlign w:val="subscript"/>
        </w:rPr>
        <w:t xml:space="preserve">2</w:t>
      </w:r>
      <w:r>
        <w:t xml:space="preserve"> </w:t>
      </w:r>
      <w:r>
        <w:t xml:space="preserve">× emission factor units.</w:t>
      </w:r>
    </w:p>
    <w:p>
      <w:pPr>
        <w:pStyle w:val="FirstParagraph"/>
      </w:pPr>
      <w:r>
        <w:t xml:space="preserve">The linearisation error is small when individual fuel price changes are under</w:t>
      </w:r>
      <w:r>
        <w:t xml:space="preserve"> </w:t>
      </w:r>
      <w:r>
        <w:t xml:space="preserve">roughly 20% of base price, which covers most realistic carbon prices and feebate</w:t>
      </w:r>
      <w:r>
        <w:t xml:space="preserve"> </w:t>
      </w:r>
      <w:r>
        <w:t xml:space="preserve">rates. For large perturbations a bisection over CES iterations is preferable, but</w:t>
      </w:r>
      <w:r>
        <w:t xml:space="preserve"> </w:t>
      </w:r>
      <w:r>
        <w:t xml:space="preserve">for cross-country comparison the linear scaling is standard and defensible.</w:t>
      </w:r>
    </w:p>
    <w:bookmarkEnd w:id="35"/>
    <w:bookmarkEnd w:id="36"/>
    <w:bookmarkStart w:id="39" w:name="partial-adjustment"/>
    <w:p>
      <w:pPr>
        <w:pStyle w:val="Heading1"/>
      </w:pPr>
      <w:r>
        <w:t xml:space="preserve">Partial adjustment</w:t>
      </w:r>
    </w:p>
    <w:bookmarkStart w:id="37" w:name="why-adjustment-takes-time"/>
    <w:p>
      <w:pPr>
        <w:pStyle w:val="Heading2"/>
      </w:pPr>
      <w:r>
        <w:t xml:space="preserve">Why adjustment takes time</w:t>
      </w:r>
    </w:p>
    <w:p>
      <w:pPr>
        <w:pStyle w:val="FirstParagraph"/>
      </w:pPr>
      <w:r>
        <w:t xml:space="preserve">Energy demand does not respond to price changes instantaneously. Conservation —</w:t>
      </w:r>
      <w:r>
        <w:t xml:space="preserve"> </w:t>
      </w:r>
      <w:r>
        <w:t xml:space="preserve">turning down a thermostat, driving fewer miles — can happen quickly because it</w:t>
      </w:r>
      <w:r>
        <w:t xml:space="preserve"> </w:t>
      </w:r>
      <w:r>
        <w:t xml:space="preserve">requires only behavioural change. Fuel switching — replacing a petrol vehicle with</w:t>
      </w:r>
      <w:r>
        <w:t xml:space="preserve"> </w:t>
      </w:r>
      <w:r>
        <w:t xml:space="preserve">an electric one, replacing a gas boiler with a heat pump — requires capital</w:t>
      </w:r>
      <w:r>
        <w:t xml:space="preserve"> </w:t>
      </w:r>
      <w:r>
        <w:t xml:space="preserve">investment and therefore replacement cycles. A carbon tax announced today changes</w:t>
      </w:r>
      <w:r>
        <w:t xml:space="preserve"> </w:t>
      </w:r>
      <w:r>
        <w:t xml:space="preserve">behaviour within months and changes capital stocks over decades.</w:t>
      </w:r>
    </w:p>
    <w:bookmarkEnd w:id="37"/>
    <w:bookmarkStart w:id="38" w:name="the-split-speed-model"/>
    <w:p>
      <w:pPr>
        <w:pStyle w:val="Heading2"/>
      </w:pPr>
      <w:r>
        <w:t xml:space="preserve">The split-speed model</w:t>
      </w:r>
    </w:p>
    <w:p>
      <w:pPr>
        <w:pStyle w:val="FirstParagraph"/>
      </w:pPr>
      <w:r>
        <w:t xml:space="preserve">The framework therefore distinguishes adjustment speeds by margin. Let</w:t>
      </w:r>
      <w:r>
        <w:t xml:space="preserve"> </w:t>
      </w:r>
      <m:oMath>
        <m:sSup>
          <m:e>
            <m:r>
              <m:t>λ</m:t>
            </m:r>
          </m:e>
          <m:sup>
            <m:r>
              <m:rPr>
                <m:sty m:val="p"/>
              </m:rPr>
              <m:t>i</m:t>
            </m:r>
            <m:r>
              <m:rPr>
                <m:sty m:val="p"/>
              </m:rPr>
              <m:t>n</m:t>
            </m:r>
            <m:r>
              <m:rPr>
                <m:sty m:val="p"/>
              </m:rPr>
              <m:t>t</m:t>
            </m:r>
          </m:sup>
        </m:sSup>
      </m:oMath>
      <w:r>
        <w:t xml:space="preserve"> </w:t>
      </w:r>
      <w:r>
        <w:t xml:space="preserve">be the per-period adjustment rate on the intensive margin</w:t>
      </w:r>
      <w:r>
        <w:t xml:space="preserve"> </w:t>
      </w:r>
      <w:r>
        <w:t xml:space="preserve">and</w:t>
      </w:r>
      <w:r>
        <w:t xml:space="preserve"> </w:t>
      </w:r>
      <m:oMath>
        <m:sSup>
          <m:e>
            <m:r>
              <m:t>λ</m:t>
            </m:r>
          </m:e>
          <m:sup>
            <m:r>
              <m:rPr>
                <m:sty m:val="p"/>
              </m:rPr>
              <m:t>e</m:t>
            </m:r>
            <m:r>
              <m:rPr>
                <m:sty m:val="p"/>
              </m:rPr>
              <m:t>x</m:t>
            </m:r>
            <m:r>
              <m:rPr>
                <m:sty m:val="p"/>
              </m:rPr>
              <m:t>t</m:t>
            </m:r>
          </m:sup>
        </m:sSup>
      </m:oMath>
      <w:r>
        <w:t xml:space="preserve"> </w:t>
      </w:r>
      <w:r>
        <w:t xml:space="preserve">on the extensive margin. The actual response in</w:t>
      </w:r>
      <w:r>
        <w:t xml:space="preserve"> </w:t>
      </w:r>
      <w:r>
        <w:t xml:space="preserve">period</w:t>
      </w:r>
      <w:r>
        <w:t xml:space="preserve"> </w:t>
      </w:r>
      <m:oMath>
        <m:r>
          <m:t>t</m:t>
        </m:r>
      </m:oMath>
      <w:r>
        <w:t xml:space="preserve"> </w:t>
      </w:r>
      <w:r>
        <w:t xml:space="preserve">to a shock at time 0 is:</w:t>
      </w:r>
    </w:p>
    <w:p>
      <w:pPr>
        <w:pStyle w:val="BodyText"/>
      </w:pPr>
      <m:oMathPara>
        <m:oMathParaPr>
          <m:jc m:val="center"/>
        </m:oMathParaPr>
        <m:oMath>
          <m:f>
            <m:fPr>
              <m:type m:val="bar"/>
            </m:fPr>
            <m:num>
              <m:r>
                <m:rPr>
                  <m:sty m:val="p"/>
                </m:rPr>
                <m:t>Δ</m:t>
              </m:r>
              <m:sSub>
                <m:e>
                  <m:r>
                    <m:t>q</m:t>
                  </m:r>
                </m:e>
                <m:sub>
                  <m:r>
                    <m:t>t</m:t>
                  </m:r>
                </m:sub>
              </m:sSub>
            </m:num>
            <m:den>
              <m:sSub>
                <m:e>
                  <m:r>
                    <m:t>q</m:t>
                  </m:r>
                </m:e>
                <m:sub>
                  <m:r>
                    <m:t>0</m:t>
                  </m:r>
                </m:sub>
              </m:sSub>
            </m:den>
          </m:f>
          <m:r>
            <m:t> </m:t>
          </m:r>
          <m:r>
            <m:rPr>
              <m:sty m:val="p"/>
            </m:rPr>
            <m:t>=</m:t>
          </m:r>
          <m:r>
            <m:t> </m:t>
          </m:r>
          <m:d>
            <m:dPr>
              <m:begChr m:val="("/>
              <m:sepChr m:val=""/>
              <m:endChr m:val=")"/>
              <m:grow/>
            </m:dPr>
            <m:e>
              <m:r>
                <m:t>1</m:t>
              </m:r>
              <m:r>
                <m:rPr>
                  <m:sty m:val="p"/>
                </m:rPr>
                <m:t>−</m:t>
              </m:r>
              <m:sSup>
                <m:e>
                  <m:r>
                    <m:t>e</m:t>
                  </m:r>
                </m:e>
                <m:sup>
                  <m:r>
                    <m:rPr>
                      <m:sty m:val="p"/>
                    </m:rPr>
                    <m:t>−</m:t>
                  </m:r>
                  <m:sSup>
                    <m:e>
                      <m:r>
                        <m:t>λ</m:t>
                      </m:r>
                    </m:e>
                    <m:sup>
                      <m:r>
                        <m:rPr>
                          <m:sty m:val="p"/>
                        </m:rPr>
                        <m:t>i</m:t>
                      </m:r>
                      <m:r>
                        <m:rPr>
                          <m:sty m:val="p"/>
                        </m:rPr>
                        <m:t>n</m:t>
                      </m:r>
                      <m:r>
                        <m:rPr>
                          <m:sty m:val="p"/>
                        </m:rPr>
                        <m:t>t</m:t>
                      </m:r>
                    </m:sup>
                  </m:sSup>
                  <m:r>
                    <m:t>t</m:t>
                  </m:r>
                </m:sup>
              </m:sSup>
            </m:e>
          </m:d>
          <m:r>
            <m:rPr>
              <m:sty m:val="p"/>
            </m:rPr>
            <m:t>⋅</m:t>
          </m:r>
          <m:sSubSup>
            <m:e>
              <m:r>
                <m:t>ε</m:t>
              </m:r>
            </m:e>
            <m:sub>
              <m:r>
                <m:rPr>
                  <m:sty m:val="p"/>
                </m:rPr>
                <m:t>L</m:t>
              </m:r>
              <m:r>
                <m:rPr>
                  <m:sty m:val="p"/>
                </m:rPr>
                <m:t>R</m:t>
              </m:r>
            </m:sub>
            <m:sup>
              <m:r>
                <m:rPr>
                  <m:sty m:val="p"/>
                </m:rPr>
                <m:t>i</m:t>
              </m:r>
              <m:r>
                <m:rPr>
                  <m:sty m:val="p"/>
                </m:rPr>
                <m:t>n</m:t>
              </m:r>
              <m:r>
                <m:rPr>
                  <m:sty m:val="p"/>
                </m:rPr>
                <m:t>t</m:t>
              </m:r>
            </m:sup>
          </m:sSubSup>
          <m:r>
            <m:rPr>
              <m:sty m:val="p"/>
            </m:rPr>
            <m:t>⋅</m:t>
          </m:r>
          <m:f>
            <m:fPr>
              <m:type m:val="bar"/>
            </m:fPr>
            <m:num>
              <m:r>
                <m:rPr>
                  <m:sty m:val="p"/>
                </m:rPr>
                <m:t>Δ</m:t>
              </m:r>
              <m:r>
                <m:t>p</m:t>
              </m:r>
            </m:num>
            <m:den>
              <m:r>
                <m:t>p</m:t>
              </m:r>
            </m:den>
          </m:f>
          <m:r>
            <m:t> </m:t>
          </m:r>
          <m:r>
            <m:rPr>
              <m:sty m:val="p"/>
            </m:rPr>
            <m:t>+</m:t>
          </m:r>
          <m:r>
            <m:t> </m:t>
          </m:r>
          <m:d>
            <m:dPr>
              <m:begChr m:val="("/>
              <m:sepChr m:val=""/>
              <m:endChr m:val=")"/>
              <m:grow/>
            </m:dPr>
            <m:e>
              <m:r>
                <m:t>1</m:t>
              </m:r>
              <m:r>
                <m:rPr>
                  <m:sty m:val="p"/>
                </m:rPr>
                <m:t>−</m:t>
              </m:r>
              <m:sSup>
                <m:e>
                  <m:r>
                    <m:t>e</m:t>
                  </m:r>
                </m:e>
                <m:sup>
                  <m:r>
                    <m:rPr>
                      <m:sty m:val="p"/>
                    </m:rPr>
                    <m:t>−</m:t>
                  </m:r>
                  <m:sSup>
                    <m:e>
                      <m:r>
                        <m:t>λ</m:t>
                      </m:r>
                    </m:e>
                    <m:sup>
                      <m:r>
                        <m:rPr>
                          <m:sty m:val="p"/>
                        </m:rPr>
                        <m:t>e</m:t>
                      </m:r>
                      <m:r>
                        <m:rPr>
                          <m:sty m:val="p"/>
                        </m:rPr>
                        <m:t>x</m:t>
                      </m:r>
                      <m:r>
                        <m:rPr>
                          <m:sty m:val="p"/>
                        </m:rPr>
                        <m:t>t</m:t>
                      </m:r>
                    </m:sup>
                  </m:sSup>
                  <m:r>
                    <m:t>t</m:t>
                  </m:r>
                </m:sup>
              </m:sSup>
            </m:e>
          </m:d>
          <m:r>
            <m:rPr>
              <m:sty m:val="p"/>
            </m:rPr>
            <m:t>⋅</m:t>
          </m:r>
          <m:sSubSup>
            <m:e>
              <m:r>
                <m:t>ε</m:t>
              </m:r>
            </m:e>
            <m:sub>
              <m:r>
                <m:rPr>
                  <m:sty m:val="p"/>
                </m:rPr>
                <m:t>L</m:t>
              </m:r>
              <m:r>
                <m:rPr>
                  <m:sty m:val="p"/>
                </m:rPr>
                <m:t>R</m:t>
              </m:r>
            </m:sub>
            <m:sup>
              <m:r>
                <m:rPr>
                  <m:sty m:val="p"/>
                </m:rPr>
                <m:t>e</m:t>
              </m:r>
              <m:r>
                <m:rPr>
                  <m:sty m:val="p"/>
                </m:rPr>
                <m:t>x</m:t>
              </m:r>
              <m:r>
                <m:rPr>
                  <m:sty m:val="p"/>
                </m:rPr>
                <m:t>t</m:t>
              </m:r>
            </m:sup>
          </m:sSubSup>
          <m:r>
            <m:rPr>
              <m:sty m:val="p"/>
            </m:rPr>
            <m:t>⋅</m:t>
          </m:r>
          <m:f>
            <m:fPr>
              <m:type m:val="bar"/>
            </m:fPr>
            <m:num>
              <m:r>
                <m:rPr>
                  <m:sty m:val="p"/>
                </m:rPr>
                <m:t>Δ</m:t>
              </m:r>
              <m:r>
                <m:t>C</m:t>
              </m:r>
            </m:num>
            <m:den>
              <m:r>
                <m:t>C</m:t>
              </m:r>
            </m:den>
          </m:f>
        </m:oMath>
      </m:oMathPara>
    </w:p>
    <w:p>
      <w:pPr>
        <w:pStyle w:val="FirstParagraph"/>
      </w:pPr>
      <w:r>
        <w:t xml:space="preserve">{#eq-partial-adjustment}</w:t>
      </w:r>
    </w:p>
    <w:p>
      <w:pPr>
        <w:pStyle w:val="BodyText"/>
      </w:pPr>
      <w:r>
        <w:t xml:space="preserve">Empirical estimates put</w:t>
      </w:r>
      <w:r>
        <w:t xml:space="preserve"> </w:t>
      </w:r>
      <m:oMath>
        <m:sSup>
          <m:e>
            <m:r>
              <m:t>λ</m:t>
            </m:r>
          </m:e>
          <m:sup>
            <m:r>
              <m:rPr>
                <m:sty m:val="p"/>
              </m:rPr>
              <m:t>i</m:t>
            </m:r>
            <m:r>
              <m:rPr>
                <m:sty m:val="p"/>
              </m:rPr>
              <m:t>n</m:t>
            </m:r>
            <m:r>
              <m:rPr>
                <m:sty m:val="p"/>
              </m:rPr>
              <m:t>t</m:t>
            </m:r>
          </m:sup>
        </m:sSup>
      </m:oMath>
      <w:r>
        <w:t xml:space="preserve"> </w:t>
      </w:r>
      <w:r>
        <w:t xml:space="preserve">near 0.5–1.0 per year (so most of</w:t>
      </w:r>
      <w:r>
        <w:t xml:space="preserve"> </w:t>
      </w:r>
      <w:r>
        <w:t xml:space="preserve">the conservation response is in within two years) and</w:t>
      </w:r>
      <w:r>
        <w:t xml:space="preserve"> </w:t>
      </w:r>
      <m:oMath>
        <m:sSup>
          <m:e>
            <m:r>
              <m:t>λ</m:t>
            </m:r>
          </m:e>
          <m:sup>
            <m:r>
              <m:rPr>
                <m:sty m:val="p"/>
              </m:rPr>
              <m:t>e</m:t>
            </m:r>
            <m:r>
              <m:rPr>
                <m:sty m:val="p"/>
              </m:rPr>
              <m:t>x</m:t>
            </m:r>
            <m:r>
              <m:rPr>
                <m:sty m:val="p"/>
              </m:rPr>
              <m:t>t</m:t>
            </m:r>
          </m:sup>
        </m:sSup>
      </m:oMath>
      <w:r>
        <w:t xml:space="preserve"> </w:t>
      </w:r>
      <w:r>
        <w:t xml:space="preserve">near 0.05–0.10 (so capital switching plays out over 10–20 years). The TECP can be</w:t>
      </w:r>
      <w:r>
        <w:t xml:space="preserve"> </w:t>
      </w:r>
      <w:r>
        <w:t xml:space="preserve">computed at any horizon; long-run TECP uses the long-run elasticities, short-run</w:t>
      </w:r>
      <w:r>
        <w:t xml:space="preserve"> </w:t>
      </w:r>
      <w:r>
        <w:t xml:space="preserve">TECP uses the appropriately scaled fraction. For policy analysis the long-run</w:t>
      </w:r>
      <w:r>
        <w:t xml:space="preserve"> </w:t>
      </w:r>
      <w:r>
        <w:t xml:space="preserve">TECP is the natural reference point because it tells the policymaker what the</w:t>
      </w:r>
      <w:r>
        <w:t xml:space="preserve"> </w:t>
      </w:r>
      <w:r>
        <w:t xml:space="preserve">package will eventually deliver if maintained.</w:t>
      </w:r>
    </w:p>
    <w:bookmarkEnd w:id="38"/>
    <w:bookmarkEnd w:id="39"/>
    <w:bookmarkStart w:id="43" w:name="calibration"/>
    <w:p>
      <w:pPr>
        <w:pStyle w:val="Heading1"/>
      </w:pPr>
      <w:r>
        <w:t xml:space="preserve">Calibration</w:t>
      </w:r>
    </w:p>
    <w:bookmarkStart w:id="41" w:name="substitution-elasticities"/>
    <w:p>
      <w:pPr>
        <w:pStyle w:val="Heading2"/>
      </w:pPr>
      <w:r>
        <w:t xml:space="preserve">Substitution elasticities</w:t>
      </w:r>
    </w:p>
    <w:p>
      <w:pPr>
        <w:pStyle w:val="FirstParagraph"/>
      </w:pPr>
      <w:r>
        <w:t xml:space="preserve">Calibration uses published elasticity estimates. The literature converges on</w:t>
      </w:r>
      <w:r>
        <w:t xml:space="preserve"> </w:t>
      </w:r>
      <w:r>
        <w:t xml:space="preserve">plausible ranges by sector:</w:t>
      </w:r>
    </w:p>
    <w:bookmarkStart w:id="40" w:name="tbl-calibration"/>
    <w:p>
      <w:pPr>
        <w:pStyle w:val="TableCaption"/>
      </w:pPr>
      <w:r>
        <w:t xml:space="preserve">Sector-level CES parameter ranges from the empirical literature</w:t>
      </w:r>
    </w:p>
    <w:tbl>
      <w:tblPr>
        <w:tblStyle w:val="Table"/>
        <w:tblW w:type="pct" w:w="5000"/>
        <w:tblLayout w:type="fixed"/>
        <w:tblLook w:firstRow="1" w:lastRow="0" w:firstColumn="0" w:lastColumn="0" w:noHBand="0" w:noVBand="0" w:val="0020"/>
        <w:tblCaption w:val="Sector-level CES parameter ranges from the empirical literature"/>
      </w:tblPr>
      <w:tblGrid>
        <w:gridCol w:w="2278"/>
        <w:gridCol w:w="2712"/>
        <w:gridCol w:w="2929"/>
      </w:tblGrid>
      <w:tr>
        <w:trPr>
          <w:tblHeader w:val="on"/>
        </w:trPr>
        <w:tc>
          <w:tcPr/>
          <w:p>
            <w:pPr>
              <w:pStyle w:val="Compact"/>
            </w:pPr>
            <w:r>
              <w:t xml:space="preserve">Sector</w:t>
            </w:r>
          </w:p>
        </w:tc>
        <w:tc>
          <w:tcPr/>
          <w:p>
            <w:pPr>
              <w:pStyle w:val="Compact"/>
            </w:pPr>
            <m:oMath>
              <m:r>
                <m:t>σ</m:t>
              </m:r>
            </m:oMath>
            <w:r>
              <w:t xml:space="preserve"> </w:t>
            </w:r>
            <w:r>
              <w:t xml:space="preserve">(substitution)</w:t>
            </w:r>
          </w:p>
        </w:tc>
        <w:tc>
          <w:tcPr/>
          <w:p>
            <w:pPr>
              <w:pStyle w:val="Compact"/>
            </w:pPr>
            <m:oMath>
              <m:r>
                <m:t>η</m:t>
              </m:r>
            </m:oMath>
            <w:r>
              <w:t xml:space="preserve"> </w:t>
            </w:r>
            <w:r>
              <w:t xml:space="preserve">(own-price demand)</w:t>
            </w:r>
          </w:p>
        </w:tc>
      </w:tr>
      <w:tr>
        <w:tc>
          <w:tcPr/>
          <w:p>
            <w:pPr>
              <w:pStyle w:val="Compact"/>
            </w:pPr>
            <w:r>
              <w:t xml:space="preserve">Road transport</w:t>
            </w:r>
          </w:p>
        </w:tc>
        <w:tc>
          <w:tcPr/>
          <w:p>
            <w:pPr>
              <w:pStyle w:val="Compact"/>
            </w:pPr>
            <w:r>
              <w:t xml:space="preserve">1.0 – 1.5</w:t>
            </w:r>
          </w:p>
        </w:tc>
        <w:tc>
          <w:tcPr/>
          <w:p>
            <w:pPr>
              <w:pStyle w:val="Compact"/>
            </w:pPr>
            <w:r>
              <w:t xml:space="preserve">−0.3 to −0.6</w:t>
            </w:r>
          </w:p>
        </w:tc>
      </w:tr>
      <w:tr>
        <w:tc>
          <w:tcPr/>
          <w:p>
            <w:pPr>
              <w:pStyle w:val="Compact"/>
            </w:pPr>
            <w:r>
              <w:t xml:space="preserve">Power generation</w:t>
            </w:r>
          </w:p>
        </w:tc>
        <w:tc>
          <w:tcPr/>
          <w:p>
            <w:pPr>
              <w:pStyle w:val="Compact"/>
            </w:pPr>
            <w:r>
              <w:t xml:space="preserve">2.0 – 4.0</w:t>
            </w:r>
          </w:p>
        </w:tc>
        <w:tc>
          <w:tcPr/>
          <w:p>
            <w:pPr>
              <w:pStyle w:val="Compact"/>
            </w:pPr>
            <w:r>
              <w:t xml:space="preserve">−0.2 to −0.5</w:t>
            </w:r>
          </w:p>
        </w:tc>
      </w:tr>
      <w:tr>
        <w:tc>
          <w:tcPr/>
          <w:p>
            <w:pPr>
              <w:pStyle w:val="Compact"/>
            </w:pPr>
            <w:r>
              <w:t xml:space="preserve">Residential heating</w:t>
            </w:r>
          </w:p>
        </w:tc>
        <w:tc>
          <w:tcPr/>
          <w:p>
            <w:pPr>
              <w:pStyle w:val="Compact"/>
            </w:pPr>
            <w:r>
              <w:t xml:space="preserve">1.0 – 2.0</w:t>
            </w:r>
          </w:p>
        </w:tc>
        <w:tc>
          <w:tcPr/>
          <w:p>
            <w:pPr>
              <w:pStyle w:val="Compact"/>
            </w:pPr>
            <w:r>
              <w:t xml:space="preserve">−0.3 to −0.5</w:t>
            </w:r>
          </w:p>
        </w:tc>
      </w:tr>
      <w:tr>
        <w:tc>
          <w:tcPr/>
          <w:p>
            <w:pPr>
              <w:pStyle w:val="Compact"/>
            </w:pPr>
            <w:r>
              <w:t xml:space="preserve">Industry (non-power)</w:t>
            </w:r>
          </w:p>
        </w:tc>
        <w:tc>
          <w:tcPr/>
          <w:p>
            <w:pPr>
              <w:pStyle w:val="Compact"/>
            </w:pPr>
            <w:r>
              <w:t xml:space="preserve">0.5 – 1.5</w:t>
            </w:r>
          </w:p>
        </w:tc>
        <w:tc>
          <w:tcPr/>
          <w:p>
            <w:pPr>
              <w:pStyle w:val="Compact"/>
            </w:pPr>
            <w:r>
              <w:t xml:space="preserve">−0.2 to −0.4</w:t>
            </w:r>
          </w:p>
        </w:tc>
      </w:tr>
    </w:tbl>
    <w:bookmarkEnd w:id="40"/>
    <w:p>
      <w:pPr>
        <w:pStyle w:val="BodyText"/>
      </w:pPr>
      <w:r>
        <w:t xml:space="preserve">These ranges are long-run estimates from meta-analyses of fuel demand studies</w:t>
      </w:r>
      <w:r>
        <w:t xml:space="preserve"> </w:t>
      </w:r>
      <w:r>
        <w:t xml:space="preserve">[@stern2012; @labandeira2017]</w:t>
      </w:r>
      <w:r>
        <w:t xml:space="preserve">. Power generation has the highest</w:t>
      </w:r>
      <w:r>
        <w:t xml:space="preserve"> </w:t>
      </w:r>
      <m:oMath>
        <m:r>
          <m:t>σ</m:t>
        </m:r>
      </m:oMath>
      <w:r>
        <w:t xml:space="preserve"> </w:t>
      </w:r>
      <w:r>
        <w:t xml:space="preserve">because</w:t>
      </w:r>
      <w:r>
        <w:t xml:space="preserve"> </w:t>
      </w:r>
      <w:r>
        <w:t xml:space="preserve">at the margin the dispatch decision is responsive to fuel prices, subject to</w:t>
      </w:r>
      <w:r>
        <w:t xml:space="preserve"> </w:t>
      </w:r>
      <w:r>
        <w:t xml:space="preserve">capacity constraints. Road transport has lower</w:t>
      </w:r>
      <w:r>
        <w:t xml:space="preserve"> </w:t>
      </w:r>
      <m:oMath>
        <m:r>
          <m:t>σ</m:t>
        </m:r>
      </m:oMath>
      <w:r>
        <w:t xml:space="preserve"> </w:t>
      </w:r>
      <w:r>
        <w:t xml:space="preserve">because switching</w:t>
      </w:r>
      <w:r>
        <w:t xml:space="preserve"> </w:t>
      </w:r>
      <w:r>
        <w:t xml:space="preserve">requires vehicle replacement;</w:t>
      </w:r>
      <w:r>
        <w:t xml:space="preserve"> </w:t>
      </w:r>
      <m:oMath>
        <m:r>
          <m:t>σ</m:t>
        </m:r>
      </m:oMath>
      <w:r>
        <w:t xml:space="preserve"> </w:t>
      </w:r>
      <w:r>
        <w:t xml:space="preserve">rises over longer horizons.</w:t>
      </w:r>
    </w:p>
    <w:bookmarkEnd w:id="41"/>
    <w:bookmarkStart w:id="42" w:name="Xbb2da58b5ef82682627a7ee81378a77871c6186"/>
    <w:p>
      <w:pPr>
        <w:pStyle w:val="Heading2"/>
      </w:pPr>
      <w:r>
        <w:t xml:space="preserve">Capital intensity and the behavioural interpretation of</w:t>
      </w:r>
      <w:r>
        <w:t xml:space="preserve"> </w:t>
      </w:r>
      <m:oMath>
        <m:r>
          <m:t>σ</m:t>
        </m:r>
      </m:oMath>
    </w:p>
    <w:p>
      <w:pPr>
        <w:pStyle w:val="FirstParagraph"/>
      </w:pPr>
      <w:r>
        <w:t xml:space="preserve">A natural objection: technologies have very different capital intensities (an EV</w:t>
      </w:r>
      <w:r>
        <w:t xml:space="preserve"> </w:t>
      </w:r>
      <w:r>
        <w:t xml:space="preserve">is more capital-intensive than an ICE car, a heat pump than a gas boiler), and a</w:t>
      </w:r>
      <w:r>
        <w:t xml:space="preserve"> </w:t>
      </w:r>
      <w:r>
        <w:t xml:space="preserve">pure energy-CES does not see capital. Does this matter?</w:t>
      </w:r>
    </w:p>
    <w:p>
      <w:pPr>
        <w:pStyle w:val="BodyText"/>
      </w:pPr>
      <w:r>
        <w:t xml:space="preserve">It matters, but less than one might think, because</w:t>
      </w:r>
      <w:r>
        <w:t xml:space="preserve"> </w:t>
      </w:r>
      <m:oMath>
        <m:r>
          <m:t>σ</m:t>
        </m:r>
      </m:oMath>
      <w:r>
        <w:t xml:space="preserve"> </w:t>
      </w:r>
      <w:r>
        <w:t xml:space="preserve">is a behavioural</w:t>
      </w:r>
      <w:r>
        <w:t xml:space="preserve"> </w:t>
      </w:r>
      <w:r>
        <w:t xml:space="preserve">parameter rather than a physical one. The empirical</w:t>
      </w:r>
      <w:r>
        <w:t xml:space="preserve"> </w:t>
      </w:r>
      <m:oMath>
        <m:r>
          <m:t>σ</m:t>
        </m:r>
      </m:oMath>
      <w:r>
        <w:t xml:space="preserve"> </w:t>
      </w:r>
      <w:r>
        <w:t xml:space="preserve">for road transport</w:t>
      </w:r>
      <w:r>
        <w:t xml:space="preserve"> </w:t>
      </w:r>
      <w:r>
        <w:t xml:space="preserve">at, say, 1.5 already reflects the fact that switching from petrol to electricity</w:t>
      </w:r>
      <w:r>
        <w:t xml:space="preserve"> </w:t>
      </w:r>
      <w:r>
        <w:t xml:space="preserve">requires buying a new car. The calibrated value of</w:t>
      </w:r>
      <w:r>
        <w:t xml:space="preserve"> </w:t>
      </w:r>
      <m:oMath>
        <m:r>
          <m:t>σ</m:t>
        </m:r>
      </m:oMath>
      <w:r>
        <w:t xml:space="preserve"> </w:t>
      </w:r>
      <w:r>
        <w:t xml:space="preserve">is the</w:t>
      </w:r>
      <w:r>
        <w:t xml:space="preserve"> </w:t>
      </w:r>
      <w:r>
        <w:rPr>
          <w:i/>
          <w:iCs/>
        </w:rPr>
        <w:t xml:space="preserve">observed</w:t>
      </w:r>
      <w:r>
        <w:t xml:space="preserve"> </w:t>
      </w:r>
      <w:r>
        <w:t xml:space="preserve">responsiveness of fuel quantities to relative fuel prices, integrated over the</w:t>
      </w:r>
      <w:r>
        <w:t xml:space="preserve"> </w:t>
      </w:r>
      <w:r>
        <w:t xml:space="preserve">relevant horizon and over the relevant capital stock. For the purposes of TECP —</w:t>
      </w:r>
      <w:r>
        <w:t xml:space="preserve"> </w:t>
      </w:r>
      <w:r>
        <w:t xml:space="preserve">comparing the abatement effectiveness of policies at the margin — this is</w:t>
      </w:r>
      <w:r>
        <w:t xml:space="preserve"> </w:t>
      </w:r>
      <w:r>
        <w:t xml:space="preserve">adequate. A more refined treatment would model capital explicitly through a</w:t>
      </w:r>
      <w:r>
        <w:t xml:space="preserve"> </w:t>
      </w:r>
      <w:r>
        <w:t xml:space="preserve">putty-clay structure; the cost in complexity is not justified for a metric whose</w:t>
      </w:r>
      <w:r>
        <w:t xml:space="preserve"> </w:t>
      </w:r>
      <w:r>
        <w:t xml:space="preserve">primary use is cross-country comparison.</w:t>
      </w:r>
    </w:p>
    <w:bookmarkEnd w:id="42"/>
    <w:bookmarkEnd w:id="43"/>
    <w:bookmarkStart w:id="47" w:name="implementation"/>
    <w:p>
      <w:pPr>
        <w:pStyle w:val="Heading1"/>
      </w:pPr>
      <w:r>
        <w:t xml:space="preserve">Implementation</w:t>
      </w:r>
    </w:p>
    <w:bookmarkStart w:id="44" w:name="computation"/>
    <w:p>
      <w:pPr>
        <w:pStyle w:val="Heading2"/>
      </w:pPr>
      <w:r>
        <w:t xml:space="preserve">Computation</w:t>
      </w:r>
    </w:p>
    <w:p>
      <w:pPr>
        <w:pStyle w:val="FirstParagraph"/>
      </w:pPr>
      <w:r>
        <w:t xml:space="preserve">A complete TECP calculation requires:</w:t>
      </w:r>
    </w:p>
    <w:p>
      <w:pPr>
        <w:pStyle w:val="Compact"/>
        <w:numPr>
          <w:ilvl w:val="0"/>
          <w:numId w:val="1005"/>
        </w:numPr>
      </w:pPr>
      <w:r>
        <w:t xml:space="preserve">baseline energy balance by sector and fuel;</w:t>
      </w:r>
    </w:p>
    <w:p>
      <w:pPr>
        <w:pStyle w:val="Compact"/>
        <w:numPr>
          <w:ilvl w:val="0"/>
          <w:numId w:val="1005"/>
        </w:numPr>
      </w:pPr>
      <w:r>
        <w:t xml:space="preserve">market prices, emission factors and technical efficiencies;</w:t>
      </w:r>
    </w:p>
    <w:p>
      <w:pPr>
        <w:pStyle w:val="Compact"/>
        <w:numPr>
          <w:ilvl w:val="0"/>
          <w:numId w:val="1005"/>
        </w:numPr>
      </w:pPr>
      <w:r>
        <w:t xml:space="preserve">sector-specific</w:t>
      </w:r>
      <w:r>
        <w:t xml:space="preserve"> </w:t>
      </w:r>
      <m:oMath>
        <m:r>
          <m:t>σ</m:t>
        </m:r>
      </m:oMath>
      <w:r>
        <w:t xml:space="preserve"> </w:t>
      </w:r>
      <w:r>
        <w:t xml:space="preserve">and</w:t>
      </w:r>
      <w:r>
        <w:t xml:space="preserve"> </w:t>
      </w:r>
      <m:oMath>
        <m:r>
          <m:t>η</m:t>
        </m:r>
      </m:oMath>
      <w:r>
        <w:t xml:space="preserve">;</w:t>
      </w:r>
    </w:p>
    <w:p>
      <w:pPr>
        <w:pStyle w:val="Compact"/>
        <w:numPr>
          <w:ilvl w:val="0"/>
          <w:numId w:val="1005"/>
        </w:numPr>
      </w:pPr>
      <w:r>
        <w:t xml:space="preserve">policy parameters mapped to intensive and extensive carbon prices on each</w:t>
      </w:r>
      <w:r>
        <w:t xml:space="preserve"> </w:t>
      </w:r>
      <w:r>
        <w:t xml:space="preserve">fuel-sector cell.</w:t>
      </w:r>
    </w:p>
    <w:p>
      <w:pPr>
        <w:pStyle w:val="FirstParagraph"/>
      </w:pPr>
      <w:r>
        <w:t xml:space="preserve">The computation has three steps: compute the</w:t>
      </w:r>
      <w:r>
        <w:t xml:space="preserve"> </w:t>
      </w:r>
      <m:oMath>
        <m:r>
          <m:rPr>
            <m:sty m:val="p"/>
          </m:rPr>
          <m:t>Ω</m:t>
        </m:r>
      </m:oMath>
      <w:r>
        <w:t xml:space="preserve"> </w:t>
      </w:r>
      <w:r>
        <w:t xml:space="preserve">weights once; map each</w:t>
      </w:r>
      <w:r>
        <w:t xml:space="preserve"> </w:t>
      </w:r>
      <w:r>
        <w:t xml:space="preserve">policy to its intensive and extensive components; take the weighted sum. The</w:t>
      </w:r>
      <w:r>
        <w:t xml:space="preserve"> </w:t>
      </w:r>
      <w:r>
        <w:t xml:space="preserve">prototype runs in Excel in under a second per scenario.</w:t>
      </w:r>
    </w:p>
    <w:bookmarkEnd w:id="44"/>
    <w:bookmarkStart w:id="45" w:name="spreadsheet-layout"/>
    <w:p>
      <w:pPr>
        <w:pStyle w:val="Heading2"/>
      </w:pPr>
      <w:r>
        <w:t xml:space="preserve">Spreadsheet layout</w:t>
      </w:r>
    </w:p>
    <w:p>
      <w:pPr>
        <w:pStyle w:val="FirstParagraph"/>
      </w:pPr>
      <w:r>
        <w:t xml:space="preserve">A practical layout has one row per fuel-sector cell. Columns hold: emissions,</w:t>
      </w:r>
      <w:r>
        <w:t xml:space="preserve"> </w:t>
      </w:r>
      <w:r>
        <w:t xml:space="preserve">service share, effective emission factor and sector mean, effective price and</w:t>
      </w:r>
      <w:r>
        <w:t xml:space="preserve"> </w:t>
      </w:r>
      <w:r>
        <w:t xml:space="preserve">CES cost index, isoelastic elasticities, semi-elasticities, intensive and</w:t>
      </w:r>
      <w:r>
        <w:t xml:space="preserve"> </w:t>
      </w:r>
      <w:r>
        <w:t xml:space="preserve">extensive policy prices, and</w:t>
      </w:r>
      <w:r>
        <w:t xml:space="preserve"> </w:t>
      </w:r>
      <m:oMath>
        <m:r>
          <m:rPr>
            <m:sty m:val="p"/>
          </m:rPr>
          <m:t>Ω</m:t>
        </m:r>
      </m:oMath>
      <w:r>
        <w:t xml:space="preserve"> </w:t>
      </w:r>
      <w:r>
        <w:t xml:space="preserve">weights. The TECP is a single</w:t>
      </w:r>
      <w:r>
        <w:t xml:space="preserve"> </w:t>
      </w:r>
      <w:r>
        <w:rPr>
          <w:rStyle w:val="VerbatimChar"/>
        </w:rPr>
        <w:t xml:space="preserve">SUMPRODUCT</w:t>
      </w:r>
      <w:r>
        <w:t xml:space="preserve">. Decomposition by margin and by sector is reading off totals from</w:t>
      </w:r>
      <w:r>
        <w:t xml:space="preserve"> </w:t>
      </w:r>
      <w:r>
        <w:t xml:space="preserve">row groupings.</w:t>
      </w:r>
    </w:p>
    <w:bookmarkEnd w:id="45"/>
    <w:bookmarkStart w:id="46" w:name="worked-example"/>
    <w:p>
      <w:pPr>
        <w:pStyle w:val="Heading2"/>
      </w:pPr>
      <w:r>
        <w:t xml:space="preserve">Worked example</w:t>
      </w:r>
    </w:p>
    <w:p>
      <w:pPr>
        <w:pStyle w:val="FirstParagraph"/>
      </w:pPr>
      <w:r>
        <w:t xml:space="preserve">A simple illustrative case: a country with a $50/tCO</w:t>
      </w:r>
      <w:r>
        <w:rPr>
          <w:vertAlign w:val="subscript"/>
        </w:rPr>
        <w:t xml:space="preserve">2</w:t>
      </w:r>
      <w:r>
        <w:t xml:space="preserve"> </w:t>
      </w:r>
      <w:r>
        <w:t xml:space="preserve">economy-wide carbon tax,</w:t>
      </w:r>
      <w:r>
        <w:t xml:space="preserve"> </w:t>
      </w:r>
      <w:r>
        <w:t xml:space="preserve">a vehicle feebate delivering an effective intensive price equivalent to</w:t>
      </w:r>
      <w:r>
        <w:t xml:space="preserve"> </w:t>
      </w:r>
      <w:r>
        <w:t xml:space="preserve">$35/tCO</w:t>
      </w:r>
      <w:r>
        <w:rPr>
          <w:vertAlign w:val="subscript"/>
        </w:rPr>
        <w:t xml:space="preserve">2</w:t>
      </w:r>
      <w:r>
        <w:t xml:space="preserve"> </w:t>
      </w:r>
      <w:r>
        <w:t xml:space="preserve">in road transport, and fuel excise duties contributing the equivalent</w:t>
      </w:r>
      <w:r>
        <w:t xml:space="preserve"> </w:t>
      </w:r>
      <w:r>
        <w:t xml:space="preserve">of $15/tCO</w:t>
      </w:r>
      <w:r>
        <w:rPr>
          <w:vertAlign w:val="subscript"/>
        </w:rPr>
        <w:t xml:space="preserve">2</w:t>
      </w:r>
      <w:r>
        <w:t xml:space="preserve"> </w:t>
      </w:r>
      <w:r>
        <w:t xml:space="preserve">economy-wide. The TECP is roughly $75/tCO</w:t>
      </w:r>
      <w:r>
        <w:rPr>
          <w:vertAlign w:val="subscript"/>
        </w:rPr>
        <w:t xml:space="preserve">2</w:t>
      </w:r>
      <w:r>
        <w:t xml:space="preserve"> </w:t>
      </w:r>
      <w:r>
        <w:t xml:space="preserve">— not $100, because</w:t>
      </w:r>
      <w:r>
        <w:t xml:space="preserve"> </w:t>
      </w:r>
      <w:r>
        <w:t xml:space="preserve">the feebate operates only in transport (one of several sectors) and only on the</w:t>
      </w:r>
      <w:r>
        <w:t xml:space="preserve"> </w:t>
      </w:r>
      <w:r>
        <w:t xml:space="preserve">intensive margin. The ratio of $75/$50 = 1.5 tells the policymaker that the</w:t>
      </w:r>
      <w:r>
        <w:t xml:space="preserve"> </w:t>
      </w:r>
      <w:r>
        <w:t xml:space="preserve">non-tax instruments are adding about 50% to the effective carbon price beyond the</w:t>
      </w:r>
      <w:r>
        <w:t xml:space="preserve"> </w:t>
      </w:r>
      <w:r>
        <w:t xml:space="preserve">explicit tax.</w:t>
      </w:r>
    </w:p>
    <w:p>
      <w:pPr>
        <w:pStyle w:val="BodyText"/>
      </w:pPr>
      <w:r>
        <w:t xml:space="preserve">{{&lt; pagebreak &gt;}}</w:t>
      </w:r>
    </w:p>
    <w:bookmarkEnd w:id="46"/>
    <w:bookmarkEnd w:id="47"/>
    <w:bookmarkStart w:id="51" w:name="conclusions-and-uses"/>
    <w:p>
      <w:pPr>
        <w:pStyle w:val="Heading1"/>
      </w:pPr>
      <w:r>
        <w:t xml:space="preserve">Conclusions and uses</w:t>
      </w:r>
    </w:p>
    <w:bookmarkStart w:id="48" w:name="what-the-metric-does"/>
    <w:p>
      <w:pPr>
        <w:pStyle w:val="Heading2"/>
      </w:pPr>
      <w:r>
        <w:t xml:space="preserve">What the metric does</w:t>
      </w:r>
    </w:p>
    <w:p>
      <w:pPr>
        <w:pStyle w:val="FirstParagraph"/>
      </w:pPr>
      <w:r>
        <w:t xml:space="preserve">The TECP turns climate policy comparison from a debate about instrument types</w:t>
      </w:r>
      <w:r>
        <w:t xml:space="preserve"> </w:t>
      </w:r>
      <w:r>
        <w:t xml:space="preserve">into a calculation with a single number. It can be applied to a country, a region,</w:t>
      </w:r>
      <w:r>
        <w:t xml:space="preserve"> </w:t>
      </w:r>
      <w:r>
        <w:t xml:space="preserve">or the world. It can be computed as a snapshot or projected forward as a</w:t>
      </w:r>
      <w:r>
        <w:t xml:space="preserve"> </w:t>
      </w:r>
      <w:r>
        <w:t xml:space="preserve">trajectory. It admits any combination of instruments and weights them by what</w:t>
      </w:r>
      <w:r>
        <w:t xml:space="preserve"> </w:t>
      </w:r>
      <w:r>
        <w:t xml:space="preserve">they actually do, not by what they nominally cost.</w:t>
      </w:r>
    </w:p>
    <w:bookmarkEnd w:id="48"/>
    <w:bookmarkStart w:id="49" w:name="what-it-does-not-do"/>
    <w:p>
      <w:pPr>
        <w:pStyle w:val="Heading2"/>
      </w:pPr>
      <w:r>
        <w:t xml:space="preserve">What it does not do</w:t>
      </w:r>
    </w:p>
    <w:p>
      <w:pPr>
        <w:pStyle w:val="FirstParagraph"/>
      </w:pPr>
      <w:r>
        <w:t xml:space="preserve">The TECP is a marginal abatement metric, not a welfare metric. It does not</w:t>
      </w:r>
      <w:r>
        <w:t xml:space="preserve"> </w:t>
      </w:r>
      <w:r>
        <w:t xml:space="preserve">capture distributional consequences, fiscal revenue, leakage, or political</w:t>
      </w:r>
      <w:r>
        <w:t xml:space="preserve"> </w:t>
      </w:r>
      <w:r>
        <w:t xml:space="preserve">durability. A policy with a high TECP may still be a bad policy. The TECP answers</w:t>
      </w:r>
      <w:r>
        <w:t xml:space="preserve"> </w:t>
      </w:r>
      <w:r>
        <w:t xml:space="preserve">“how much abatement does this package deliver?”</w:t>
      </w:r>
      <w:r>
        <w:t xml:space="preserve">, not</w:t>
      </w:r>
      <w:r>
        <w:t xml:space="preserve"> </w:t>
      </w:r>
      <w:r>
        <w:t xml:space="preserve">“is this package good?”</w:t>
      </w:r>
      <w:r>
        <w:t xml:space="preserve"> </w:t>
      </w:r>
      <w:r>
        <w:t xml:space="preserve">—</w:t>
      </w:r>
      <w:r>
        <w:t xml:space="preserve"> </w:t>
      </w:r>
      <w:r>
        <w:t xml:space="preserve">and the two are not the same question.</w:t>
      </w:r>
    </w:p>
    <w:bookmarkEnd w:id="49"/>
    <w:bookmarkStart w:id="50" w:name="where-the-metric-is-most-useful"/>
    <w:p>
      <w:pPr>
        <w:pStyle w:val="Heading2"/>
      </w:pPr>
      <w:r>
        <w:t xml:space="preserve">Where the metric is most useful</w:t>
      </w:r>
    </w:p>
    <w:p>
      <w:pPr>
        <w:pStyle w:val="Compact"/>
        <w:numPr>
          <w:ilvl w:val="0"/>
          <w:numId w:val="1006"/>
        </w:numPr>
      </w:pPr>
      <w:r>
        <w:rPr>
          <w:b/>
          <w:bCs/>
        </w:rPr>
        <w:t xml:space="preserve">Cross-country climate ambition comparison.</w:t>
      </w:r>
      <w:r>
        <w:t xml:space="preserve"> </w:t>
      </w:r>
      <w:r>
        <w:t xml:space="preserve">The TECP is the right</w:t>
      </w:r>
      <w:r>
        <w:t xml:space="preserve"> </w:t>
      </w:r>
      <w:r>
        <w:t xml:space="preserve">denominator: not nominal carbon prices, but effective carbon prices weighted by</w:t>
      </w:r>
      <w:r>
        <w:t xml:space="preserve"> </w:t>
      </w:r>
      <w:r>
        <w:t xml:space="preserve">abatement responsiveness.</w:t>
      </w:r>
    </w:p>
    <w:p>
      <w:pPr>
        <w:pStyle w:val="Compact"/>
        <w:numPr>
          <w:ilvl w:val="0"/>
          <w:numId w:val="1006"/>
        </w:numPr>
      </w:pPr>
      <w:r>
        <w:rPr>
          <w:b/>
          <w:bCs/>
        </w:rPr>
        <w:t xml:space="preserve">Diagnostic decomposition.</w:t>
      </w:r>
      <w:r>
        <w:t xml:space="preserve"> </w:t>
      </w:r>
      <w:r>
        <w:t xml:space="preserve">Which margin is doing the work? Which sector is</w:t>
      </w:r>
      <w:r>
        <w:t xml:space="preserve"> </w:t>
      </w:r>
      <w:r>
        <w:t xml:space="preserve">over- or under-priced? The TECP decomposes additively along both dimensions.</w:t>
      </w:r>
    </w:p>
    <w:p>
      <w:pPr>
        <w:pStyle w:val="Compact"/>
        <w:numPr>
          <w:ilvl w:val="0"/>
          <w:numId w:val="1006"/>
        </w:numPr>
      </w:pPr>
      <w:r>
        <w:rPr>
          <w:b/>
          <w:bCs/>
        </w:rPr>
        <w:t xml:space="preserve">Counterfactual policy design.</w:t>
      </w:r>
      <w:r>
        <w:t xml:space="preserve"> </w:t>
      </w:r>
      <w:r>
        <w:t xml:space="preserve">Replacing a feebate with a carbon tax of</w:t>
      </w:r>
      <w:r>
        <w:t xml:space="preserve"> </w:t>
      </w:r>
      <w:r>
        <w:t xml:space="preserve">equivalent TECP is a first-order welfare-neutral move. The TECP is the right</w:t>
      </w:r>
      <w:r>
        <w:t xml:space="preserve"> </w:t>
      </w:r>
      <w:r>
        <w:t xml:space="preserve">exchange rate.</w:t>
      </w:r>
    </w:p>
    <w:p>
      <w:pPr>
        <w:pStyle w:val="Compact"/>
        <w:numPr>
          <w:ilvl w:val="0"/>
          <w:numId w:val="1006"/>
        </w:numPr>
      </w:pPr>
      <w:r>
        <w:rPr>
          <w:b/>
          <w:bCs/>
        </w:rPr>
        <w:t xml:space="preserve">Trajectory planning.</w:t>
      </w:r>
      <w:r>
        <w:t xml:space="preserve"> </w:t>
      </w:r>
      <w:r>
        <w:t xml:space="preserve">Computed annually, the TECP gives a single trajectory</w:t>
      </w:r>
      <w:r>
        <w:t xml:space="preserve"> </w:t>
      </w:r>
      <w:r>
        <w:t xml:space="preserve">for the effective climate price signal in the economy, against which any</w:t>
      </w:r>
      <w:r>
        <w:t xml:space="preserve"> </w:t>
      </w:r>
      <w:r>
        <w:t xml:space="preserve">package can be benchmarked.</w:t>
      </w:r>
    </w:p>
    <w:p>
      <w:pPr>
        <w:pStyle w:val="FirstParagraph"/>
      </w:pPr>
      <w:r>
        <w:t xml:space="preserve">{{&lt; pagebreak &gt;}}</w:t>
      </w:r>
    </w:p>
    <w:bookmarkEnd w:id="50"/>
    <w:bookmarkEnd w:id="51"/>
    <w:bookmarkStart w:id="61" w:name="appendix-complete-formula-reference"/>
    <w:p>
      <w:pPr>
        <w:pStyle w:val="Heading1"/>
      </w:pPr>
      <w:r>
        <w:t xml:space="preserve">Appendix: Complete Formula Reference</w:t>
      </w:r>
    </w:p>
    <w:p>
      <w:pPr>
        <w:pStyle w:val="FirstParagraph"/>
      </w:pPr>
      <w:r>
        <w:t xml:space="preserve">Throughout: fuel</w:t>
      </w:r>
      <w:r>
        <w:t xml:space="preserve"> </w:t>
      </w:r>
      <m:oMath>
        <m:r>
          <m:t>f</m:t>
        </m:r>
      </m:oMath>
      <w:r>
        <w:t xml:space="preserve"> </w:t>
      </w:r>
      <w:r>
        <w:t xml:space="preserve">in sector</w:t>
      </w:r>
      <w:r>
        <w:t xml:space="preserve"> </w:t>
      </w:r>
      <m:oMath>
        <m:r>
          <m:t>s</m:t>
        </m:r>
      </m:oMath>
      <w:r>
        <w:t xml:space="preserve">, year</w:t>
      </w:r>
      <w:r>
        <w:t xml:space="preserve"> </w:t>
      </w:r>
      <m:oMath>
        <m:r>
          <m:t>t</m:t>
        </m:r>
      </m:oMath>
      <w:r>
        <w:t xml:space="preserve">. Baseline (year 0) quantities</w:t>
      </w:r>
      <w:r>
        <w:t xml:space="preserve"> </w:t>
      </w:r>
      <m:oMath>
        <m:sSubSup>
          <m:e>
            <m:r>
              <m:t>q</m:t>
            </m:r>
          </m:e>
          <m:sub>
            <m:r>
              <m:t>f</m:t>
            </m:r>
            <m:r>
              <m:t>s</m:t>
            </m:r>
          </m:sub>
          <m:sup>
            <m:r>
              <m:t>0</m:t>
            </m:r>
          </m:sup>
        </m:sSubSup>
      </m:oMath>
      <w:r>
        <w:t xml:space="preserve">, prices</w:t>
      </w:r>
      <w:r>
        <w:t xml:space="preserve"> </w:t>
      </w:r>
      <m:oMath>
        <m:sSubSup>
          <m:e>
            <m:r>
              <m:t>p</m:t>
            </m:r>
          </m:e>
          <m:sub>
            <m:r>
              <m:t>f</m:t>
            </m:r>
            <m:r>
              <m:t>s</m:t>
            </m:r>
          </m:sub>
          <m:sup>
            <m:r>
              <m:t>0</m:t>
            </m:r>
          </m:sup>
        </m:sSubSup>
      </m:oMath>
      <w:r>
        <w:t xml:space="preserve">, emission factors</w:t>
      </w:r>
      <w:r>
        <w:t xml:space="preserve"> </w:t>
      </w:r>
      <m:oMath>
        <m:sSub>
          <m:e>
            <m:r>
              <m:t>e</m:t>
            </m:r>
          </m:e>
          <m:sub>
            <m:r>
              <m:t>f</m:t>
            </m:r>
          </m:sub>
        </m:sSub>
      </m:oMath>
      <w:r>
        <w:t xml:space="preserve">. CES substitution</w:t>
      </w:r>
      <w:r>
        <w:t xml:space="preserve"> </w:t>
      </w:r>
      <w:r>
        <w:t xml:space="preserve">elasticity</w:t>
      </w:r>
      <w:r>
        <w:t xml:space="preserve"> </w:t>
      </w:r>
      <m:oMath>
        <m:sSub>
          <m:e>
            <m:r>
              <m:t>σ</m:t>
            </m:r>
          </m:e>
          <m:sub>
            <m:r>
              <m:t>s</m:t>
            </m:r>
          </m:sub>
        </m:sSub>
      </m:oMath>
      <w:r>
        <w:t xml:space="preserve">, demand elasticity</w:t>
      </w:r>
      <w:r>
        <w:t xml:space="preserve"> </w:t>
      </w:r>
      <m:oMath>
        <m:sSub>
          <m:e>
            <m:r>
              <m:t>η</m:t>
            </m:r>
          </m:e>
          <m:sub>
            <m:r>
              <m:t>s</m:t>
            </m:r>
          </m:sub>
        </m:sSub>
      </m:oMath>
      <w:r>
        <w:t xml:space="preserve">.</w:t>
      </w:r>
    </w:p>
    <w:bookmarkStart w:id="52" w:name="a.1-ces-cost-index"/>
    <w:p>
      <w:pPr>
        <w:pStyle w:val="Heading2"/>
      </w:pPr>
      <w:r>
        <w:t xml:space="preserve">A.1 CES cost index</w:t>
      </w:r>
    </w:p>
    <w:p>
      <w:pPr>
        <w:pStyle w:val="FirstParagraph"/>
      </w:pPr>
      <m:oMathPara>
        <m:oMathParaPr>
          <m:jc m:val="center"/>
        </m:oMathParaPr>
        <m:oMath>
          <m:sSub>
            <m:e>
              <m:r>
                <m:t>C</m:t>
              </m:r>
            </m:e>
            <m:sub>
              <m:r>
                <m:t>s</m:t>
              </m:r>
              <m:r>
                <m:rPr>
                  <m:sty m:val="p"/>
                </m:rPr>
                <m:t>,</m:t>
              </m:r>
              <m:r>
                <m:t>t</m:t>
              </m:r>
            </m:sub>
          </m:sSub>
          <m:r>
            <m:t> </m:t>
          </m:r>
          <m:r>
            <m:rPr>
              <m:sty m:val="p"/>
            </m:rPr>
            <m:t>=</m:t>
          </m:r>
          <m:r>
            <m:t> </m:t>
          </m:r>
          <m:sSup>
            <m:e>
              <m:d>
                <m:dPr>
                  <m:begChr m:val="("/>
                  <m:sepChr m:val=""/>
                  <m:endChr m:val=")"/>
                  <m:grow/>
                </m:dPr>
                <m:e>
                  <m:nary>
                    <m:naryPr>
                      <m:chr m:val="∑"/>
                      <m:limLoc m:val="undOvr"/>
                      <m:subHide m:val="off"/>
                      <m:supHide m:val="on"/>
                    </m:naryPr>
                    <m:sub>
                      <m:r>
                        <m:t>f</m:t>
                      </m:r>
                    </m:sub>
                    <m:sup>
                      <m:r>
                        <m:t>​</m:t>
                      </m:r>
                    </m:sup>
                    <m:e>
                      <m:sSub>
                        <m:e>
                          <m:r>
                            <m:t>α</m:t>
                          </m:r>
                        </m:e>
                        <m:sub>
                          <m:r>
                            <m:t>f</m:t>
                          </m:r>
                          <m:r>
                            <m:t>s</m:t>
                          </m:r>
                        </m:sub>
                      </m:sSub>
                    </m:e>
                  </m:nary>
                  <m:r>
                    <m:t> </m:t>
                  </m:r>
                  <m:sSubSup>
                    <m:e>
                      <m:r>
                        <m:t>p</m:t>
                      </m:r>
                    </m:e>
                    <m:sub>
                      <m:r>
                        <m:t>f</m:t>
                      </m:r>
                      <m:r>
                        <m:t>s</m:t>
                      </m:r>
                      <m:r>
                        <m:rPr>
                          <m:sty m:val="p"/>
                        </m:rPr>
                        <m:t>,</m:t>
                      </m:r>
                      <m:r>
                        <m:t>t</m:t>
                      </m:r>
                    </m:sub>
                    <m:sup>
                      <m:r>
                        <m:t> </m:t>
                      </m:r>
                      <m:r>
                        <m:t>1</m:t>
                      </m:r>
                      <m:r>
                        <m:rPr>
                          <m:sty m:val="p"/>
                        </m:rPr>
                        <m:t>−</m:t>
                      </m:r>
                      <m:sSub>
                        <m:e>
                          <m:r>
                            <m:t>σ</m:t>
                          </m:r>
                        </m:e>
                        <m:sub>
                          <m:r>
                            <m:t>s</m:t>
                          </m:r>
                        </m:sub>
                      </m:sSub>
                    </m:sup>
                  </m:sSubSup>
                </m:e>
              </m:d>
            </m:e>
            <m:sup>
              <m:r>
                <m:t>1</m:t>
              </m:r>
              <m:r>
                <m:rPr>
                  <m:sty m:val="p"/>
                </m:rPr>
                <m:t>/</m:t>
              </m:r>
              <m:r>
                <m:rPr>
                  <m:sty m:val="p"/>
                </m:rPr>
                <m:t>(</m:t>
              </m:r>
              <m:r>
                <m:t>1</m:t>
              </m:r>
              <m:r>
                <m:rPr>
                  <m:sty m:val="p"/>
                </m:rPr>
                <m:t>−</m:t>
              </m:r>
              <m:sSub>
                <m:e>
                  <m:r>
                    <m:t>σ</m:t>
                  </m:r>
                </m:e>
                <m:sub>
                  <m:r>
                    <m:t>s</m:t>
                  </m:r>
                </m:sub>
              </m:sSub>
              <m:r>
                <m:rPr>
                  <m:sty m:val="p"/>
                </m:rPr>
                <m:t>)</m:t>
              </m:r>
            </m:sup>
          </m:sSup>
        </m:oMath>
      </m:oMathPara>
    </w:p>
    <w:p>
      <w:pPr>
        <w:pStyle w:val="FirstParagraph"/>
      </w:pPr>
      <w:r>
        <w:t xml:space="preserve">where</w:t>
      </w:r>
      <w:r>
        <w:t xml:space="preserve"> </w:t>
      </w:r>
      <m:oMath>
        <m:sSub>
          <m:e>
            <m:r>
              <m:t>α</m:t>
            </m:r>
          </m:e>
          <m:sub>
            <m:r>
              <m:t>f</m:t>
            </m:r>
            <m:r>
              <m:t>s</m:t>
            </m:r>
          </m:sub>
        </m:sSub>
      </m:oMath>
      <w:r>
        <w:t xml:space="preserve"> </w:t>
      </w:r>
      <w:r>
        <w:t xml:space="preserve">are calibrated share parameters from the base year.</w:t>
      </w:r>
    </w:p>
    <w:bookmarkEnd w:id="52"/>
    <w:bookmarkStart w:id="53" w:name="a.2-ces-equilibrium-quantities"/>
    <w:p>
      <w:pPr>
        <w:pStyle w:val="Heading2"/>
      </w:pPr>
      <w:r>
        <w:t xml:space="preserve">A.2 CES equilibrium quantities</w:t>
      </w:r>
    </w:p>
    <w:p>
      <w:pPr>
        <w:pStyle w:val="FirstParagraph"/>
      </w:pPr>
      <m:oMathPara>
        <m:oMathParaPr>
          <m:jc m:val="center"/>
        </m:oMathParaPr>
        <m:oMath>
          <m:sSubSup>
            <m:e>
              <m:r>
                <m:t>q</m:t>
              </m:r>
            </m:e>
            <m:sub>
              <m:r>
                <m:t>f</m:t>
              </m:r>
              <m:r>
                <m:t>s</m:t>
              </m:r>
              <m:r>
                <m:rPr>
                  <m:sty m:val="p"/>
                </m:rPr>
                <m:t>,</m:t>
              </m:r>
              <m:r>
                <m:t>t</m:t>
              </m:r>
            </m:sub>
            <m:sup>
              <m:r>
                <m:rPr>
                  <m:sty m:val="p"/>
                </m:rPr>
                <m:t>*</m:t>
              </m:r>
            </m:sup>
          </m:sSubSup>
          <m:r>
            <m:t> </m:t>
          </m:r>
          <m:r>
            <m:rPr>
              <m:sty m:val="p"/>
            </m:rPr>
            <m:t>=</m:t>
          </m:r>
          <m:r>
            <m:t> </m:t>
          </m:r>
          <m:sSub>
            <m:e>
              <m:r>
                <m:t>q</m:t>
              </m:r>
            </m:e>
            <m:sub>
              <m:r>
                <m:t>f</m:t>
              </m:r>
              <m:r>
                <m:t>s</m:t>
              </m:r>
              <m:r>
                <m:rPr>
                  <m:sty m:val="p"/>
                </m:rPr>
                <m:t>,</m:t>
              </m:r>
              <m:r>
                <m:t>t</m:t>
              </m:r>
              <m:r>
                <m:rPr>
                  <m:sty m:val="p"/>
                </m:rPr>
                <m:t>−</m:t>
              </m:r>
              <m:r>
                <m:t>1</m:t>
              </m:r>
            </m:sub>
          </m:sSub>
          <m:sSup>
            <m:e>
              <m:d>
                <m:dPr>
                  <m:begChr m:val="("/>
                  <m:sepChr m:val=""/>
                  <m:endChr m:val=")"/>
                  <m:grow/>
                </m:dPr>
                <m:e>
                  <m:f>
                    <m:fPr>
                      <m:type m:val="bar"/>
                    </m:fPr>
                    <m:num>
                      <m:sSub>
                        <m:e>
                          <m:r>
                            <m:t>p</m:t>
                          </m:r>
                        </m:e>
                        <m:sub>
                          <m:r>
                            <m:t>f</m:t>
                          </m:r>
                          <m:r>
                            <m:t>s</m:t>
                          </m:r>
                          <m:r>
                            <m:rPr>
                              <m:sty m:val="p"/>
                            </m:rPr>
                            <m:t>,</m:t>
                          </m:r>
                          <m:r>
                            <m:t>t</m:t>
                          </m:r>
                        </m:sub>
                      </m:sSub>
                    </m:num>
                    <m:den>
                      <m:sSub>
                        <m:e>
                          <m:r>
                            <m:t>p</m:t>
                          </m:r>
                        </m:e>
                        <m:sub>
                          <m:r>
                            <m:t>f</m:t>
                          </m:r>
                          <m:r>
                            <m:t>s</m:t>
                          </m:r>
                          <m:r>
                            <m:rPr>
                              <m:sty m:val="p"/>
                            </m:rPr>
                            <m:t>,</m:t>
                          </m:r>
                          <m:r>
                            <m:t>t</m:t>
                          </m:r>
                          <m:r>
                            <m:rPr>
                              <m:sty m:val="p"/>
                            </m:rPr>
                            <m:t>−</m:t>
                          </m:r>
                          <m:r>
                            <m:t>1</m:t>
                          </m:r>
                        </m:sub>
                      </m:sSub>
                    </m:den>
                  </m:f>
                </m:e>
              </m:d>
            </m:e>
            <m:sup>
              <m:r>
                <m:rPr>
                  <m:sty m:val="p"/>
                </m:rPr>
                <m:t>−</m:t>
              </m:r>
              <m:sSub>
                <m:e>
                  <m:r>
                    <m:t>σ</m:t>
                  </m:r>
                </m:e>
                <m:sub>
                  <m:r>
                    <m:t>s</m:t>
                  </m:r>
                </m:sub>
              </m:sSub>
            </m:sup>
          </m:sSup>
          <m:sSup>
            <m:e>
              <m:d>
                <m:dPr>
                  <m:begChr m:val="("/>
                  <m:sepChr m:val=""/>
                  <m:endChr m:val=")"/>
                  <m:grow/>
                </m:dPr>
                <m:e>
                  <m:f>
                    <m:fPr>
                      <m:type m:val="bar"/>
                    </m:fPr>
                    <m:num>
                      <m:sSub>
                        <m:e>
                          <m:r>
                            <m:t>C</m:t>
                          </m:r>
                        </m:e>
                        <m:sub>
                          <m:r>
                            <m:t>s</m:t>
                          </m:r>
                          <m:r>
                            <m:rPr>
                              <m:sty m:val="p"/>
                            </m:rPr>
                            <m:t>,</m:t>
                          </m:r>
                          <m:r>
                            <m:t>t</m:t>
                          </m:r>
                        </m:sub>
                      </m:sSub>
                    </m:num>
                    <m:den>
                      <m:sSub>
                        <m:e>
                          <m:r>
                            <m:t>C</m:t>
                          </m:r>
                        </m:e>
                        <m:sub>
                          <m:r>
                            <m:t>s</m:t>
                          </m:r>
                          <m:r>
                            <m:rPr>
                              <m:sty m:val="p"/>
                            </m:rPr>
                            <m:t>,</m:t>
                          </m:r>
                          <m:r>
                            <m:t>t</m:t>
                          </m:r>
                          <m:r>
                            <m:rPr>
                              <m:sty m:val="p"/>
                            </m:rPr>
                            <m:t>−</m:t>
                          </m:r>
                          <m:r>
                            <m:t>1</m:t>
                          </m:r>
                        </m:sub>
                      </m:sSub>
                    </m:den>
                  </m:f>
                </m:e>
              </m:d>
            </m:e>
            <m:sup>
              <m:sSub>
                <m:e>
                  <m:r>
                    <m:t>σ</m:t>
                  </m:r>
                </m:e>
                <m:sub>
                  <m:r>
                    <m:t>s</m:t>
                  </m:r>
                </m:sub>
              </m:sSub>
              <m:r>
                <m:rPr>
                  <m:sty m:val="p"/>
                </m:rPr>
                <m:t>+</m:t>
              </m:r>
              <m:sSub>
                <m:e>
                  <m:r>
                    <m:t>η</m:t>
                  </m:r>
                </m:e>
                <m:sub>
                  <m:r>
                    <m:t>s</m:t>
                  </m:r>
                </m:sub>
              </m:sSub>
            </m:sup>
          </m:sSup>
        </m:oMath>
      </m:oMathPara>
    </w:p>
    <w:bookmarkEnd w:id="53"/>
    <w:bookmarkStart w:id="54" w:name="a.3-isoelastic-equilibrium-quantities"/>
    <w:p>
      <w:pPr>
        <w:pStyle w:val="Heading2"/>
      </w:pPr>
      <w:r>
        <w:t xml:space="preserve">A.3 Isoelastic equilibrium quantities</w:t>
      </w:r>
    </w:p>
    <w:p>
      <w:pPr>
        <w:pStyle w:val="FirstParagraph"/>
      </w:pPr>
      <m:oMathPara>
        <m:oMathParaPr>
          <m:jc m:val="center"/>
        </m:oMathParaPr>
        <m:oMath>
          <m:sSubSup>
            <m:e>
              <m:r>
                <m:t>q</m:t>
              </m:r>
            </m:e>
            <m:sub>
              <m:r>
                <m:t>f</m:t>
              </m:r>
              <m:r>
                <m:t>s</m:t>
              </m:r>
              <m:r>
                <m:rPr>
                  <m:sty m:val="p"/>
                </m:rPr>
                <m:t>,</m:t>
              </m:r>
              <m:r>
                <m:t>t</m:t>
              </m:r>
            </m:sub>
            <m:sup>
              <m:r>
                <m:rPr>
                  <m:sty m:val="p"/>
                </m:rPr>
                <m:t>*</m:t>
              </m:r>
            </m:sup>
          </m:sSubSup>
          <m:r>
            <m:t> </m:t>
          </m:r>
          <m:r>
            <m:rPr>
              <m:sty m:val="p"/>
            </m:rPr>
            <m:t>=</m:t>
          </m:r>
          <m:r>
            <m:t> </m:t>
          </m:r>
          <m:sSub>
            <m:e>
              <m:r>
                <m:t>q</m:t>
              </m:r>
            </m:e>
            <m:sub>
              <m:r>
                <m:t>f</m:t>
              </m:r>
              <m:r>
                <m:t>s</m:t>
              </m:r>
              <m:r>
                <m:rPr>
                  <m:sty m:val="p"/>
                </m:rPr>
                <m:t>,</m:t>
              </m:r>
              <m:r>
                <m:t>t</m:t>
              </m:r>
              <m:r>
                <m:rPr>
                  <m:sty m:val="p"/>
                </m:rPr>
                <m:t>−</m:t>
              </m:r>
              <m:r>
                <m:t>1</m:t>
              </m:r>
            </m:sub>
          </m:sSub>
          <m:nary>
            <m:naryPr>
              <m:chr m:val="∏"/>
              <m:limLoc m:val="undOvr"/>
              <m:subHide m:val="off"/>
              <m:supHide m:val="on"/>
            </m:naryPr>
            <m:sub>
              <m:r>
                <m:t>g</m:t>
              </m:r>
            </m:sub>
            <m:sup>
              <m:r>
                <m:t>​</m:t>
              </m:r>
            </m:sup>
            <m:e>
              <m:sSup>
                <m:e>
                  <m:d>
                    <m:dPr>
                      <m:begChr m:val="("/>
                      <m:sepChr m:val=""/>
                      <m:endChr m:val=")"/>
                      <m:grow/>
                    </m:dPr>
                    <m:e>
                      <m:f>
                        <m:fPr>
                          <m:type m:val="bar"/>
                        </m:fPr>
                        <m:num>
                          <m:sSub>
                            <m:e>
                              <m:r>
                                <m:t>p</m:t>
                              </m:r>
                            </m:e>
                            <m:sub>
                              <m:r>
                                <m:t>g</m:t>
                              </m:r>
                              <m:r>
                                <m:t>s</m:t>
                              </m:r>
                              <m:r>
                                <m:rPr>
                                  <m:sty m:val="p"/>
                                </m:rPr>
                                <m:t>,</m:t>
                              </m:r>
                              <m:r>
                                <m:t>t</m:t>
                              </m:r>
                            </m:sub>
                          </m:sSub>
                        </m:num>
                        <m:den>
                          <m:sSub>
                            <m:e>
                              <m:r>
                                <m:t>p</m:t>
                              </m:r>
                            </m:e>
                            <m:sub>
                              <m:r>
                                <m:t>g</m:t>
                              </m:r>
                              <m:r>
                                <m:t>s</m:t>
                              </m:r>
                              <m:r>
                                <m:rPr>
                                  <m:sty m:val="p"/>
                                </m:rPr>
                                <m:t>,</m:t>
                              </m:r>
                              <m:r>
                                <m:t>t</m:t>
                              </m:r>
                              <m:r>
                                <m:rPr>
                                  <m:sty m:val="p"/>
                                </m:rPr>
                                <m:t>−</m:t>
                              </m:r>
                              <m:r>
                                <m:t>1</m:t>
                              </m:r>
                            </m:sub>
                          </m:sSub>
                        </m:den>
                      </m:f>
                    </m:e>
                  </m:d>
                </m:e>
                <m:sup>
                  <m:sSub>
                    <m:e>
                      <m:r>
                        <m:t>ε</m:t>
                      </m:r>
                    </m:e>
                    <m:sub>
                      <m:r>
                        <m:t>f</m:t>
                      </m:r>
                      <m:r>
                        <m:t>g</m:t>
                      </m:r>
                      <m:r>
                        <m:rPr>
                          <m:sty m:val="p"/>
                        </m:rPr>
                        <m:t>,</m:t>
                      </m:r>
                      <m:r>
                        <m:t>s</m:t>
                      </m:r>
                    </m:sub>
                  </m:sSub>
                </m:sup>
              </m:sSup>
            </m:e>
          </m:nary>
        </m:oMath>
      </m:oMathPara>
    </w:p>
    <w:bookmarkEnd w:id="54"/>
    <w:bookmarkStart w:id="55" w:name="a.4-partial-adjustment-single-speed"/>
    <w:p>
      <w:pPr>
        <w:pStyle w:val="Heading2"/>
      </w:pPr>
      <w:r>
        <w:t xml:space="preserve">A.4 Partial adjustment (single speed)</w:t>
      </w:r>
    </w:p>
    <w:p>
      <w:pPr>
        <w:pStyle w:val="FirstParagraph"/>
      </w:pPr>
      <m:oMathPara>
        <m:oMathParaPr>
          <m:jc m:val="center"/>
        </m:oMathParaPr>
        <m:oMath>
          <m:sSub>
            <m:e>
              <m:r>
                <m:t>q</m:t>
              </m:r>
            </m:e>
            <m:sub>
              <m:r>
                <m:t>f</m:t>
              </m:r>
              <m:r>
                <m:t>s</m:t>
              </m:r>
              <m:r>
                <m:rPr>
                  <m:sty m:val="p"/>
                </m:rPr>
                <m:t>,</m:t>
              </m:r>
              <m:r>
                <m:t>t</m:t>
              </m:r>
            </m:sub>
          </m:sSub>
          <m:r>
            <m:t> </m:t>
          </m:r>
          <m:r>
            <m:rPr>
              <m:sty m:val="p"/>
            </m:rPr>
            <m:t>=</m:t>
          </m:r>
          <m:r>
            <m:t> </m:t>
          </m:r>
          <m:sSub>
            <m:e>
              <m:r>
                <m:t>q</m:t>
              </m:r>
            </m:e>
            <m:sub>
              <m:r>
                <m:t>f</m:t>
              </m:r>
              <m:r>
                <m:t>s</m:t>
              </m:r>
              <m:r>
                <m:rPr>
                  <m:sty m:val="p"/>
                </m:rPr>
                <m:t>,</m:t>
              </m:r>
              <m:r>
                <m:t>t</m:t>
              </m:r>
              <m:r>
                <m:rPr>
                  <m:sty m:val="p"/>
                </m:rPr>
                <m:t>−</m:t>
              </m:r>
              <m:r>
                <m:t>1</m:t>
              </m:r>
            </m:sub>
          </m:sSub>
          <m:r>
            <m:t> </m:t>
          </m:r>
          <m:r>
            <m:rPr>
              <m:sty m:val="p"/>
            </m:rPr>
            <m:t>+</m:t>
          </m:r>
          <m:r>
            <m:t> </m:t>
          </m:r>
          <m:sSub>
            <m:e>
              <m:r>
                <m:t>λ</m:t>
              </m:r>
            </m:e>
            <m:sub>
              <m:r>
                <m:t>s</m:t>
              </m:r>
            </m:sub>
          </m:sSub>
          <m:d>
            <m:dPr>
              <m:begChr m:val="("/>
              <m:sepChr m:val=""/>
              <m:endChr m:val=")"/>
              <m:grow/>
            </m:dPr>
            <m:e>
              <m:sSubSup>
                <m:e>
                  <m:r>
                    <m:t>q</m:t>
                  </m:r>
                </m:e>
                <m:sub>
                  <m:r>
                    <m:t>f</m:t>
                  </m:r>
                  <m:r>
                    <m:t>s</m:t>
                  </m:r>
                  <m:r>
                    <m:rPr>
                      <m:sty m:val="p"/>
                    </m:rPr>
                    <m:t>,</m:t>
                  </m:r>
                  <m:r>
                    <m:t>t</m:t>
                  </m:r>
                </m:sub>
                <m:sup>
                  <m:r>
                    <m:rPr>
                      <m:sty m:val="p"/>
                    </m:rPr>
                    <m:t>*</m:t>
                  </m:r>
                </m:sup>
              </m:sSubSup>
              <m:r>
                <m:rPr>
                  <m:sty m:val="p"/>
                </m:rPr>
                <m:t>−</m:t>
              </m:r>
              <m:sSub>
                <m:e>
                  <m:r>
                    <m:t>q</m:t>
                  </m:r>
                </m:e>
                <m:sub>
                  <m:r>
                    <m:t>f</m:t>
                  </m:r>
                  <m:r>
                    <m:t>s</m:t>
                  </m:r>
                  <m:r>
                    <m:rPr>
                      <m:sty m:val="p"/>
                    </m:rPr>
                    <m:t>,</m:t>
                  </m:r>
                  <m:r>
                    <m:t>t</m:t>
                  </m:r>
                  <m:r>
                    <m:rPr>
                      <m:sty m:val="p"/>
                    </m:rPr>
                    <m:t>−</m:t>
                  </m:r>
                  <m:r>
                    <m:t>1</m:t>
                  </m:r>
                </m:sub>
              </m:sSub>
            </m:e>
          </m:d>
        </m:oMath>
      </m:oMathPara>
    </w:p>
    <w:bookmarkEnd w:id="55"/>
    <w:bookmarkStart w:id="56" w:name="a.5-partial-adjustment-split-speeds"/>
    <w:p>
      <w:pPr>
        <w:pStyle w:val="Heading2"/>
      </w:pPr>
      <w:r>
        <w:t xml:space="preserve">A.5 Partial adjustment (split speeds)</w:t>
      </w:r>
    </w:p>
    <w:p>
      <w:pPr>
        <w:pStyle w:val="FirstParagraph"/>
      </w:pPr>
      <m:oMathPara>
        <m:oMathParaPr>
          <m:jc m:val="center"/>
        </m:oMathParaPr>
        <m:oMath>
          <m:eqArr>
            <m:e>
              <m:sSub>
                <m:e>
                  <m:r>
                    <m:t>Q</m:t>
                  </m:r>
                </m:e>
                <m:sub>
                  <m:r>
                    <m:t>s</m:t>
                  </m:r>
                  <m:r>
                    <m:rPr>
                      <m:sty m:val="p"/>
                    </m:rPr>
                    <m:t>,</m:t>
                  </m:r>
                  <m:r>
                    <m:t>t</m:t>
                  </m:r>
                </m:sub>
              </m:sSub>
              <m:r>
                <m:t>&amp;</m:t>
              </m:r>
              <m:r>
                <m:t> </m:t>
              </m:r>
              <m:r>
                <m:rPr>
                  <m:sty m:val="p"/>
                </m:rPr>
                <m:t>=</m:t>
              </m:r>
              <m:r>
                <m:t> </m:t>
              </m:r>
              <m:sSub>
                <m:e>
                  <m:r>
                    <m:t>Q</m:t>
                  </m:r>
                </m:e>
                <m:sub>
                  <m:r>
                    <m:t>s</m:t>
                  </m:r>
                  <m:r>
                    <m:rPr>
                      <m:sty m:val="p"/>
                    </m:rPr>
                    <m:t>,</m:t>
                  </m:r>
                  <m:r>
                    <m:t>t</m:t>
                  </m:r>
                  <m:r>
                    <m:rPr>
                      <m:sty m:val="p"/>
                    </m:rPr>
                    <m:t>−</m:t>
                  </m:r>
                  <m:r>
                    <m:t>1</m:t>
                  </m:r>
                </m:sub>
              </m:sSub>
              <m:r>
                <m:rPr>
                  <m:sty m:val="p"/>
                </m:rPr>
                <m:t>+</m:t>
              </m:r>
              <m:sSubSup>
                <m:e>
                  <m:r>
                    <m:t>λ</m:t>
                  </m:r>
                </m:e>
                <m:sub>
                  <m:r>
                    <m:t>s</m:t>
                  </m:r>
                </m:sub>
                <m:sup>
                  <m:r>
                    <m:rPr>
                      <m:sty m:val="p"/>
                    </m:rPr>
                    <m:t>e</m:t>
                  </m:r>
                  <m:r>
                    <m:rPr>
                      <m:sty m:val="p"/>
                    </m:rPr>
                    <m:t>x</m:t>
                  </m:r>
                  <m:r>
                    <m:rPr>
                      <m:sty m:val="p"/>
                    </m:rPr>
                    <m:t>t</m:t>
                  </m:r>
                </m:sup>
              </m:sSubSup>
              <m:r>
                <m:t> </m:t>
              </m:r>
              <m:d>
                <m:dPr>
                  <m:begChr m:val="("/>
                  <m:sepChr m:val=""/>
                  <m:endChr m:val=")"/>
                  <m:grow/>
                </m:dPr>
                <m:e>
                  <m:sSubSup>
                    <m:e>
                      <m:r>
                        <m:t>Q</m:t>
                      </m:r>
                    </m:e>
                    <m:sub>
                      <m:r>
                        <m:t>s</m:t>
                      </m:r>
                      <m:r>
                        <m:rPr>
                          <m:sty m:val="p"/>
                        </m:rPr>
                        <m:t>,</m:t>
                      </m:r>
                      <m:r>
                        <m:t>t</m:t>
                      </m:r>
                    </m:sub>
                    <m:sup>
                      <m:r>
                        <m:rPr>
                          <m:sty m:val="p"/>
                        </m:rPr>
                        <m:t>*</m:t>
                      </m:r>
                    </m:sup>
                  </m:sSubSup>
                  <m:r>
                    <m:rPr>
                      <m:sty m:val="p"/>
                    </m:rPr>
                    <m:t>−</m:t>
                  </m:r>
                  <m:sSub>
                    <m:e>
                      <m:r>
                        <m:t>Q</m:t>
                      </m:r>
                    </m:e>
                    <m:sub>
                      <m:r>
                        <m:t>s</m:t>
                      </m:r>
                      <m:r>
                        <m:rPr>
                          <m:sty m:val="p"/>
                        </m:rPr>
                        <m:t>,</m:t>
                      </m:r>
                      <m:r>
                        <m:t>t</m:t>
                      </m:r>
                      <m:r>
                        <m:rPr>
                          <m:sty m:val="p"/>
                        </m:rPr>
                        <m:t>−</m:t>
                      </m:r>
                      <m:r>
                        <m:t>1</m:t>
                      </m:r>
                    </m:sub>
                  </m:sSub>
                </m:e>
              </m:d>
            </m:e>
            <m:e>
              <m:sSub>
                <m:e>
                  <m:r>
                    <m:t>w</m:t>
                  </m:r>
                </m:e>
                <m:sub>
                  <m:r>
                    <m:t>f</m:t>
                  </m:r>
                  <m:r>
                    <m:t>s</m:t>
                  </m:r>
                  <m:r>
                    <m:rPr>
                      <m:sty m:val="p"/>
                    </m:rPr>
                    <m:t>,</m:t>
                  </m:r>
                  <m:r>
                    <m:t>t</m:t>
                  </m:r>
                </m:sub>
              </m:sSub>
              <m:r>
                <m:t>&amp;</m:t>
              </m:r>
              <m:r>
                <m:t> </m:t>
              </m:r>
              <m:r>
                <m:rPr>
                  <m:sty m:val="p"/>
                </m:rPr>
                <m:t>=</m:t>
              </m:r>
              <m:r>
                <m:t> </m:t>
              </m:r>
              <m:sSub>
                <m:e>
                  <m:r>
                    <m:t>w</m:t>
                  </m:r>
                </m:e>
                <m:sub>
                  <m:r>
                    <m:t>f</m:t>
                  </m:r>
                  <m:r>
                    <m:t>s</m:t>
                  </m:r>
                  <m:r>
                    <m:rPr>
                      <m:sty m:val="p"/>
                    </m:rPr>
                    <m:t>,</m:t>
                  </m:r>
                  <m:r>
                    <m:t>t</m:t>
                  </m:r>
                  <m:r>
                    <m:rPr>
                      <m:sty m:val="p"/>
                    </m:rPr>
                    <m:t>−</m:t>
                  </m:r>
                  <m:r>
                    <m:t>1</m:t>
                  </m:r>
                </m:sub>
              </m:sSub>
              <m:r>
                <m:rPr>
                  <m:sty m:val="p"/>
                </m:rPr>
                <m:t>+</m:t>
              </m:r>
              <m:sSubSup>
                <m:e>
                  <m:r>
                    <m:t>λ</m:t>
                  </m:r>
                </m:e>
                <m:sub>
                  <m:r>
                    <m:t>s</m:t>
                  </m:r>
                </m:sub>
                <m:sup>
                  <m:r>
                    <m:rPr>
                      <m:sty m:val="p"/>
                    </m:rPr>
                    <m:t>i</m:t>
                  </m:r>
                  <m:r>
                    <m:rPr>
                      <m:sty m:val="p"/>
                    </m:rPr>
                    <m:t>n</m:t>
                  </m:r>
                  <m:r>
                    <m:rPr>
                      <m:sty m:val="p"/>
                    </m:rPr>
                    <m:t>t</m:t>
                  </m:r>
                </m:sup>
              </m:sSubSup>
              <m:r>
                <m:t> </m:t>
              </m:r>
              <m:d>
                <m:dPr>
                  <m:begChr m:val="("/>
                  <m:sepChr m:val=""/>
                  <m:endChr m:val=")"/>
                  <m:grow/>
                </m:dPr>
                <m:e>
                  <m:sSubSup>
                    <m:e>
                      <m:r>
                        <m:t>w</m:t>
                      </m:r>
                    </m:e>
                    <m:sub>
                      <m:r>
                        <m:t>f</m:t>
                      </m:r>
                      <m:r>
                        <m:t>s</m:t>
                      </m:r>
                      <m:r>
                        <m:rPr>
                          <m:sty m:val="p"/>
                        </m:rPr>
                        <m:t>,</m:t>
                      </m:r>
                      <m:r>
                        <m:t>t</m:t>
                      </m:r>
                    </m:sub>
                    <m:sup>
                      <m:r>
                        <m:rPr>
                          <m:sty m:val="p"/>
                        </m:rPr>
                        <m:t>*</m:t>
                      </m:r>
                    </m:sup>
                  </m:sSubSup>
                  <m:r>
                    <m:rPr>
                      <m:sty m:val="p"/>
                    </m:rPr>
                    <m:t>−</m:t>
                  </m:r>
                  <m:sSub>
                    <m:e>
                      <m:r>
                        <m:t>w</m:t>
                      </m:r>
                    </m:e>
                    <m:sub>
                      <m:r>
                        <m:t>f</m:t>
                      </m:r>
                      <m:r>
                        <m:t>s</m:t>
                      </m:r>
                      <m:r>
                        <m:rPr>
                          <m:sty m:val="p"/>
                        </m:rPr>
                        <m:t>,</m:t>
                      </m:r>
                      <m:r>
                        <m:t>t</m:t>
                      </m:r>
                      <m:r>
                        <m:rPr>
                          <m:sty m:val="p"/>
                        </m:rPr>
                        <m:t>−</m:t>
                      </m:r>
                      <m:r>
                        <m:t>1</m:t>
                      </m:r>
                    </m:sub>
                  </m:sSub>
                </m:e>
              </m:d>
            </m:e>
            <m:e>
              <m:sSub>
                <m:e>
                  <m:r>
                    <m:t>q</m:t>
                  </m:r>
                </m:e>
                <m:sub>
                  <m:r>
                    <m:t>f</m:t>
                  </m:r>
                  <m:r>
                    <m:t>s</m:t>
                  </m:r>
                  <m:r>
                    <m:rPr>
                      <m:sty m:val="p"/>
                    </m:rPr>
                    <m:t>,</m:t>
                  </m:r>
                  <m:r>
                    <m:t>t</m:t>
                  </m:r>
                </m:sub>
              </m:sSub>
              <m:r>
                <m:t>&amp;</m:t>
              </m:r>
              <m:r>
                <m:t> </m:t>
              </m:r>
              <m:r>
                <m:rPr>
                  <m:sty m:val="p"/>
                </m:rPr>
                <m:t>=</m:t>
              </m:r>
              <m:r>
                <m:t> </m:t>
              </m:r>
              <m:sSub>
                <m:e>
                  <m:r>
                    <m:t>w</m:t>
                  </m:r>
                </m:e>
                <m:sub>
                  <m:r>
                    <m:t>f</m:t>
                  </m:r>
                  <m:r>
                    <m:t>s</m:t>
                  </m:r>
                  <m:r>
                    <m:rPr>
                      <m:sty m:val="p"/>
                    </m:rPr>
                    <m:t>,</m:t>
                  </m:r>
                  <m:r>
                    <m:t>t</m:t>
                  </m:r>
                </m:sub>
              </m:sSub>
              <m:r>
                <m:rPr>
                  <m:sty m:val="p"/>
                </m:rPr>
                <m:t>⋅</m:t>
              </m:r>
              <m:sSub>
                <m:e>
                  <m:r>
                    <m:t>Q</m:t>
                  </m:r>
                </m:e>
                <m:sub>
                  <m:r>
                    <m:t>s</m:t>
                  </m:r>
                  <m:r>
                    <m:rPr>
                      <m:sty m:val="p"/>
                    </m:rPr>
                    <m:t>,</m:t>
                  </m:r>
                  <m:r>
                    <m:t>t</m:t>
                  </m:r>
                </m:sub>
              </m:sSub>
            </m:e>
          </m:eqArr>
        </m:oMath>
      </m:oMathPara>
    </w:p>
    <w:bookmarkEnd w:id="56"/>
    <w:bookmarkStart w:id="57" w:name="a.6-elasticity-matrix-from-ces"/>
    <w:p>
      <w:pPr>
        <w:pStyle w:val="Heading2"/>
      </w:pPr>
      <w:r>
        <w:t xml:space="preserve">A.6 Elasticity matrix from CES</w:t>
      </w:r>
    </w:p>
    <w:p>
      <w:pPr>
        <w:pStyle w:val="FirstParagraph"/>
      </w:pPr>
      <m:oMathPara>
        <m:oMathParaPr>
          <m:jc m:val="center"/>
        </m:oMathParaPr>
        <m:oMath>
          <m:eqArr>
            <m:e>
              <m:sSub>
                <m:e>
                  <m:r>
                    <m:t>ε</m:t>
                  </m:r>
                </m:e>
                <m:sub>
                  <m:r>
                    <m:t>f</m:t>
                  </m:r>
                  <m:r>
                    <m:t>f</m:t>
                  </m:r>
                  <m:r>
                    <m:rPr>
                      <m:sty m:val="p"/>
                    </m:rPr>
                    <m:t>,</m:t>
                  </m:r>
                  <m:r>
                    <m:t>s</m:t>
                  </m:r>
                </m:sub>
              </m:sSub>
              <m:r>
                <m:t>&amp;</m:t>
              </m:r>
              <m:r>
                <m:t> </m:t>
              </m:r>
              <m:r>
                <m:rPr>
                  <m:sty m:val="p"/>
                </m:rPr>
                <m:t>=</m:t>
              </m:r>
              <m:r>
                <m:t> </m:t>
              </m:r>
              <m:r>
                <m:rPr>
                  <m:sty m:val="p"/>
                </m:rPr>
                <m:t>−</m:t>
              </m:r>
              <m:sSub>
                <m:e>
                  <m:r>
                    <m:t>σ</m:t>
                  </m:r>
                </m:e>
                <m:sub>
                  <m:r>
                    <m:t>s</m:t>
                  </m:r>
                </m:sub>
              </m:sSub>
              <m:r>
                <m:rPr>
                  <m:sty m:val="p"/>
                </m:rPr>
                <m:t>+</m:t>
              </m:r>
              <m:r>
                <m:rPr>
                  <m:sty m:val="p"/>
                </m:rPr>
                <m:t>(</m:t>
              </m:r>
              <m:sSub>
                <m:e>
                  <m:r>
                    <m:t>σ</m:t>
                  </m:r>
                </m:e>
                <m:sub>
                  <m:r>
                    <m:t>s</m:t>
                  </m:r>
                </m:sub>
              </m:sSub>
              <m:r>
                <m:rPr>
                  <m:sty m:val="p"/>
                </m:rPr>
                <m:t>+</m:t>
              </m:r>
              <m:sSub>
                <m:e>
                  <m:r>
                    <m:t>η</m:t>
                  </m:r>
                </m:e>
                <m:sub>
                  <m:r>
                    <m:t>s</m:t>
                  </m:r>
                </m:sub>
              </m:sSub>
              <m:r>
                <m:rPr>
                  <m:sty m:val="p"/>
                </m:rPr>
                <m:t>)</m:t>
              </m:r>
              <m:r>
                <m:t> </m:t>
              </m:r>
              <m:sSub>
                <m:e>
                  <m:r>
                    <m:t>s</m:t>
                  </m:r>
                </m:e>
                <m:sub>
                  <m:r>
                    <m:t>f</m:t>
                  </m:r>
                  <m:r>
                    <m:t>s</m:t>
                  </m:r>
                </m:sub>
              </m:sSub>
            </m:e>
            <m:e>
              <m:sSub>
                <m:e>
                  <m:r>
                    <m:t>ε</m:t>
                  </m:r>
                </m:e>
                <m:sub>
                  <m:r>
                    <m:t>f</m:t>
                  </m:r>
                  <m:r>
                    <m:t>g</m:t>
                  </m:r>
                  <m:r>
                    <m:rPr>
                      <m:sty m:val="p"/>
                    </m:rPr>
                    <m:t>,</m:t>
                  </m:r>
                  <m:r>
                    <m:t>s</m:t>
                  </m:r>
                </m:sub>
              </m:sSub>
              <m:r>
                <m:t>&amp;</m:t>
              </m:r>
              <m:r>
                <m:t> </m:t>
              </m:r>
              <m:r>
                <m:rPr>
                  <m:sty m:val="p"/>
                </m:rPr>
                <m:t>=</m:t>
              </m:r>
              <m:r>
                <m:t> </m:t>
              </m:r>
              <m:r>
                <m:rPr>
                  <m:sty m:val="p"/>
                </m:rPr>
                <m:t>(</m:t>
              </m:r>
              <m:sSub>
                <m:e>
                  <m:r>
                    <m:t>σ</m:t>
                  </m:r>
                </m:e>
                <m:sub>
                  <m:r>
                    <m:t>s</m:t>
                  </m:r>
                </m:sub>
              </m:sSub>
              <m:r>
                <m:rPr>
                  <m:sty m:val="p"/>
                </m:rPr>
                <m:t>+</m:t>
              </m:r>
              <m:sSub>
                <m:e>
                  <m:r>
                    <m:t>η</m:t>
                  </m:r>
                </m:e>
                <m:sub>
                  <m:r>
                    <m:t>s</m:t>
                  </m:r>
                </m:sub>
              </m:sSub>
              <m:r>
                <m:rPr>
                  <m:sty m:val="p"/>
                </m:rPr>
                <m:t>)</m:t>
              </m:r>
              <m:r>
                <m:t> </m:t>
              </m:r>
              <m:sSub>
                <m:e>
                  <m:r>
                    <m:t>s</m:t>
                  </m:r>
                </m:e>
                <m:sub>
                  <m:r>
                    <m:t>g</m:t>
                  </m:r>
                  <m:r>
                    <m:t>s</m:t>
                  </m:r>
                </m:sub>
              </m:sSub>
              <m:r>
                <m:t>  </m:t>
              </m:r>
              <m:r>
                <m:rPr>
                  <m:sty m:val="p"/>
                </m:rPr>
                <m:t>(</m:t>
              </m:r>
              <m:r>
                <m:t>g</m:t>
              </m:r>
              <m:r>
                <m:rPr>
                  <m:sty m:val="p"/>
                </m:rPr>
                <m:t>≠</m:t>
              </m:r>
              <m:r>
                <m:t>f</m:t>
              </m:r>
              <m:r>
                <m:rPr>
                  <m:sty m:val="p"/>
                </m:rPr>
                <m:t>)</m:t>
              </m:r>
            </m:e>
          </m:eqArr>
        </m:oMath>
      </m:oMathPara>
    </w:p>
    <w:bookmarkEnd w:id="57"/>
    <w:bookmarkStart w:id="58" w:name="a.7-semi-elasticities-from-ces"/>
    <w:p>
      <w:pPr>
        <w:pStyle w:val="Heading2"/>
      </w:pPr>
      <w:r>
        <w:t xml:space="preserve">A.7 Semi-elasticities from CES</w:t>
      </w:r>
    </w:p>
    <w:p>
      <w:pPr>
        <w:pStyle w:val="FirstParagraph"/>
      </w:pPr>
      <m:oMathPara>
        <m:oMathParaPr>
          <m:jc m:val="center"/>
        </m:oMathParaPr>
        <m:oMath>
          <m:eqArr>
            <m:e>
              <m:sSubSup>
                <m:e>
                  <m:acc>
                    <m:accPr>
                      <m:chr m:val="̃"/>
                    </m:accPr>
                    <m:e>
                      <m:r>
                        <m:t>ε</m:t>
                      </m:r>
                    </m:e>
                  </m:acc>
                </m:e>
                <m:sub>
                  <m:r>
                    <m:t>f</m:t>
                  </m:r>
                  <m:r>
                    <m:t>s</m:t>
                  </m:r>
                </m:sub>
                <m:sup>
                  <m:r>
                    <m:t> </m:t>
                  </m:r>
                  <m:r>
                    <m:rPr>
                      <m:sty m:val="p"/>
                    </m:rPr>
                    <m:t>i</m:t>
                  </m:r>
                  <m:r>
                    <m:rPr>
                      <m:sty m:val="p"/>
                    </m:rPr>
                    <m:t>n</m:t>
                  </m:r>
                  <m:r>
                    <m:rPr>
                      <m:sty m:val="p"/>
                    </m:rPr>
                    <m:t>t</m:t>
                  </m:r>
                </m:sup>
              </m:sSubSup>
              <m:r>
                <m:t>&amp;</m:t>
              </m:r>
              <m:r>
                <m:t> </m:t>
              </m:r>
              <m:r>
                <m:rPr>
                  <m:sty m:val="p"/>
                </m:rPr>
                <m:t>=</m:t>
              </m:r>
              <m:r>
                <m:t> </m:t>
              </m:r>
              <m:sSub>
                <m:e>
                  <m:r>
                    <m:t>σ</m:t>
                  </m:r>
                </m:e>
                <m:sub>
                  <m:r>
                    <m:t>s</m:t>
                  </m:r>
                </m:sub>
              </m:sSub>
              <m:r>
                <m:t> </m:t>
              </m:r>
              <m:r>
                <m:rPr>
                  <m:sty m:val="p"/>
                </m:rPr>
                <m:t>(</m:t>
              </m:r>
              <m:r>
                <m:t>1</m:t>
              </m:r>
              <m:r>
                <m:rPr>
                  <m:sty m:val="p"/>
                </m:rPr>
                <m:t>−</m:t>
              </m:r>
              <m:sSub>
                <m:e>
                  <m:r>
                    <m:t>w</m:t>
                  </m:r>
                </m:e>
                <m:sub>
                  <m:r>
                    <m:t>f</m:t>
                  </m:r>
                  <m:r>
                    <m:t>s</m:t>
                  </m:r>
                </m:sub>
              </m:sSub>
              <m:r>
                <m:rPr>
                  <m:sty m:val="p"/>
                </m:rPr>
                <m:t>)</m:t>
              </m:r>
              <m:r>
                <m:t> </m:t>
              </m:r>
              <m:f>
                <m:fPr>
                  <m:type m:val="bar"/>
                </m:fPr>
                <m:num>
                  <m:sSub>
                    <m:e>
                      <m:r>
                        <m:t>e</m:t>
                      </m:r>
                    </m:e>
                    <m:sub>
                      <m:r>
                        <m:t>f</m:t>
                      </m:r>
                    </m:sub>
                  </m:sSub>
                  <m:r>
                    <m:rPr>
                      <m:sty m:val="p"/>
                    </m:rPr>
                    <m:t>−</m:t>
                  </m:r>
                  <m:sSub>
                    <m:e>
                      <m:acc>
                        <m:accPr>
                          <m:chr m:val="‾"/>
                        </m:accPr>
                        <m:e>
                          <m:r>
                            <m:t>e</m:t>
                          </m:r>
                        </m:e>
                      </m:acc>
                    </m:e>
                    <m:sub>
                      <m:r>
                        <m:t>s</m:t>
                      </m:r>
                    </m:sub>
                  </m:sSub>
                </m:num>
                <m:den>
                  <m:sSub>
                    <m:e>
                      <m:r>
                        <m:t>p</m:t>
                      </m:r>
                    </m:e>
                    <m:sub>
                      <m:r>
                        <m:t>f</m:t>
                      </m:r>
                      <m:r>
                        <m:t>s</m:t>
                      </m:r>
                    </m:sub>
                  </m:sSub>
                </m:den>
              </m:f>
            </m:e>
            <m:e>
              <m:sSubSup>
                <m:e>
                  <m:acc>
                    <m:accPr>
                      <m:chr m:val="̃"/>
                    </m:accPr>
                    <m:e>
                      <m:r>
                        <m:t>ε</m:t>
                      </m:r>
                    </m:e>
                  </m:acc>
                </m:e>
                <m:sub>
                  <m:r>
                    <m:t>s</m:t>
                  </m:r>
                </m:sub>
                <m:sup>
                  <m:r>
                    <m:t> </m:t>
                  </m:r>
                  <m:r>
                    <m:rPr>
                      <m:sty m:val="p"/>
                    </m:rPr>
                    <m:t>e</m:t>
                  </m:r>
                  <m:r>
                    <m:rPr>
                      <m:sty m:val="p"/>
                    </m:rPr>
                    <m:t>x</m:t>
                  </m:r>
                  <m:r>
                    <m:rPr>
                      <m:sty m:val="p"/>
                    </m:rPr>
                    <m:t>t</m:t>
                  </m:r>
                </m:sup>
              </m:sSubSup>
              <m:r>
                <m:t>&amp;</m:t>
              </m:r>
              <m:r>
                <m:t> </m:t>
              </m:r>
              <m:r>
                <m:rPr>
                  <m:sty m:val="p"/>
                </m:rPr>
                <m:t>=</m:t>
              </m:r>
              <m:r>
                <m:t> </m:t>
              </m:r>
              <m:r>
                <m:rPr>
                  <m:sty m:val="p"/>
                </m:rPr>
                <m:t>|</m:t>
              </m:r>
              <m:sSub>
                <m:e>
                  <m:r>
                    <m:t>η</m:t>
                  </m:r>
                </m:e>
                <m:sub>
                  <m:r>
                    <m:t>s</m:t>
                  </m:r>
                </m:sub>
              </m:sSub>
              <m:r>
                <m:rPr>
                  <m:sty m:val="p"/>
                </m:rPr>
                <m:t>|</m:t>
              </m:r>
              <m:r>
                <m:t> </m:t>
              </m:r>
              <m:f>
                <m:fPr>
                  <m:type m:val="bar"/>
                </m:fPr>
                <m:num>
                  <m:sSub>
                    <m:e>
                      <m:acc>
                        <m:accPr>
                          <m:chr m:val="‾"/>
                        </m:accPr>
                        <m:e>
                          <m:r>
                            <m:t>e</m:t>
                          </m:r>
                        </m:e>
                      </m:acc>
                    </m:e>
                    <m:sub>
                      <m:r>
                        <m:t>s</m:t>
                      </m:r>
                    </m:sub>
                  </m:sSub>
                </m:num>
                <m:den>
                  <m:sSub>
                    <m:e>
                      <m:r>
                        <m:t>C</m:t>
                      </m:r>
                    </m:e>
                    <m:sub>
                      <m:r>
                        <m:t>s</m:t>
                      </m:r>
                    </m:sub>
                  </m:sSub>
                </m:den>
              </m:f>
            </m:e>
          </m:eqArr>
        </m:oMath>
      </m:oMathPara>
    </w:p>
    <w:bookmarkEnd w:id="58"/>
    <w:bookmarkStart w:id="59" w:name="X7b0d1a5b72f4302784fcf4f130a2517d7ee7652"/>
    <w:p>
      <w:pPr>
        <w:pStyle w:val="Heading2"/>
      </w:pPr>
      <w:r>
        <w:t xml:space="preserve">A.8 Adjustment speed from empirical elasticities</w:t>
      </w:r>
    </w:p>
    <w:p>
      <w:pPr>
        <w:pStyle w:val="FirstParagraph"/>
      </w:pPr>
      <m:oMathPara>
        <m:oMathParaPr>
          <m:jc m:val="center"/>
        </m:oMathParaPr>
        <m:oMath>
          <m:eqArr>
            <m:e>
              <m:r>
                <m:t>λ</m:t>
              </m:r>
              <m:r>
                <m:t>&amp;</m:t>
              </m:r>
              <m:r>
                <m:t> </m:t>
              </m:r>
              <m:r>
                <m:rPr>
                  <m:sty m:val="p"/>
                </m:rPr>
                <m:t>≈</m:t>
              </m:r>
              <m:r>
                <m:t> </m:t>
              </m:r>
              <m:sSup>
                <m:e>
                  <m:r>
                    <m:t>σ</m:t>
                  </m:r>
                </m:e>
                <m:sup>
                  <m:r>
                    <m:rPr>
                      <m:sty m:val="p"/>
                    </m:rPr>
                    <m:t>S</m:t>
                  </m:r>
                  <m:r>
                    <m:rPr>
                      <m:sty m:val="p"/>
                    </m:rPr>
                    <m:t>R</m:t>
                  </m:r>
                </m:sup>
              </m:sSup>
              <m:r>
                <m:t> </m:t>
              </m:r>
              <m:r>
                <m:rPr>
                  <m:sty m:val="p"/>
                </m:rPr>
                <m:t>/</m:t>
              </m:r>
              <m:r>
                <m:t> </m:t>
              </m:r>
              <m:sSup>
                <m:e>
                  <m:r>
                    <m:t>σ</m:t>
                  </m:r>
                </m:e>
                <m:sup>
                  <m:r>
                    <m:rPr>
                      <m:sty m:val="p"/>
                    </m:rPr>
                    <m:t>L</m:t>
                  </m:r>
                  <m:r>
                    <m:rPr>
                      <m:sty m:val="p"/>
                    </m:rPr>
                    <m:t>R</m:t>
                  </m:r>
                </m:sup>
              </m:sSup>
            </m:e>
            <m:e>
              <m:r>
                <m:t>σ</m:t>
              </m:r>
              <m:r>
                <m:t>&amp;</m:t>
              </m:r>
              <m:r>
                <m:t> </m:t>
              </m:r>
              <m:r>
                <m:rPr>
                  <m:sty m:val="p"/>
                </m:rPr>
                <m:t>=</m:t>
              </m:r>
              <m:r>
                <m:t> </m:t>
              </m:r>
              <m:sSup>
                <m:e>
                  <m:r>
                    <m:t>σ</m:t>
                  </m:r>
                </m:e>
                <m:sup>
                  <m:r>
                    <m:rPr>
                      <m:sty m:val="p"/>
                    </m:rPr>
                    <m:t>L</m:t>
                  </m:r>
                  <m:r>
                    <m:rPr>
                      <m:sty m:val="p"/>
                    </m:rPr>
                    <m:t>R</m:t>
                  </m:r>
                </m:sup>
              </m:sSup>
            </m:e>
            <m:e>
              <m:sSubSup>
                <m:e>
                  <m:r>
                    <m:t>σ</m:t>
                  </m:r>
                </m:e>
                <m:sub>
                  <m:r>
                    <m:t>T</m:t>
                  </m:r>
                </m:sub>
                <m:sup>
                  <m:r>
                    <m:rPr>
                      <m:sty m:val="p"/>
                    </m:rPr>
                    <m:t>e</m:t>
                  </m:r>
                  <m:r>
                    <m:rPr>
                      <m:sty m:val="p"/>
                    </m:rPr>
                    <m:t>f</m:t>
                  </m:r>
                  <m:r>
                    <m:rPr>
                      <m:sty m:val="p"/>
                    </m:rPr>
                    <m:t>f</m:t>
                  </m:r>
                </m:sup>
              </m:sSubSup>
              <m:r>
                <m:t>&amp;</m:t>
              </m:r>
              <m:r>
                <m:t> </m:t>
              </m:r>
              <m:r>
                <m:rPr>
                  <m:sty m:val="p"/>
                </m:rPr>
                <m:t>=</m:t>
              </m:r>
              <m:r>
                <m:t> </m:t>
              </m:r>
              <m:r>
                <m:t>σ</m:t>
              </m:r>
              <m:d>
                <m:dPr>
                  <m:begChr m:val="["/>
                  <m:sepChr m:val=""/>
                  <m:endChr m:val="]"/>
                  <m:grow/>
                </m:dPr>
                <m:e>
                  <m:r>
                    <m:t>1</m:t>
                  </m:r>
                  <m:r>
                    <m:rPr>
                      <m:sty m:val="p"/>
                    </m:rPr>
                    <m:t>−</m:t>
                  </m:r>
                  <m:r>
                    <m:rPr>
                      <m:sty m:val="p"/>
                    </m:rPr>
                    <m:t>(</m:t>
                  </m:r>
                  <m:r>
                    <m:t>1</m:t>
                  </m:r>
                  <m:r>
                    <m:rPr>
                      <m:sty m:val="p"/>
                    </m:rPr>
                    <m:t>−</m:t>
                  </m:r>
                  <m:r>
                    <m:t>λ</m:t>
                  </m:r>
                  <m:sSup>
                    <m:e>
                      <m:r>
                        <m:rPr>
                          <m:sty m:val="p"/>
                        </m:rPr>
                        <m:t>)</m:t>
                      </m:r>
                    </m:e>
                    <m:sup>
                      <m:r>
                        <m:t>T</m:t>
                      </m:r>
                    </m:sup>
                  </m:sSup>
                </m:e>
              </m:d>
            </m:e>
            <m:e>
              <m:sSub>
                <m:e>
                  <m:r>
                    <m:t>t</m:t>
                  </m:r>
                </m:e>
                <m:sub>
                  <m:r>
                    <m:t>1</m:t>
                  </m:r>
                  <m:r>
                    <m:rPr>
                      <m:sty m:val="p"/>
                    </m:rPr>
                    <m:t>/</m:t>
                  </m:r>
                  <m:r>
                    <m:t>2</m:t>
                  </m:r>
                </m:sub>
              </m:sSub>
              <m:r>
                <m:t>&amp;</m:t>
              </m:r>
              <m:r>
                <m:t> </m:t>
              </m:r>
              <m:r>
                <m:rPr>
                  <m:sty m:val="p"/>
                </m:rPr>
                <m:t>=</m:t>
              </m:r>
              <m:r>
                <m:t> </m:t>
              </m:r>
              <m:r>
                <m:rPr>
                  <m:sty m:val="p"/>
                </m:rPr>
                <m:t>ln</m:t>
              </m:r>
              <m:r>
                <m:t>2</m:t>
              </m:r>
              <m:r>
                <m:t> </m:t>
              </m:r>
              <m:r>
                <m:rPr>
                  <m:sty m:val="p"/>
                </m:rPr>
                <m:t>/</m:t>
              </m:r>
              <m:r>
                <m:t> </m:t>
              </m:r>
              <m:r>
                <m:rPr>
                  <m:sty m:val="p"/>
                </m:rPr>
                <m:t>ln</m:t>
              </m:r>
              <m:r>
                <m:t>​</m:t>
              </m:r>
              <m:d>
                <m:dPr>
                  <m:begChr m:val="("/>
                  <m:sepChr m:val=""/>
                  <m:endChr m:val=")"/>
                  <m:grow/>
                </m:dPr>
                <m:e>
                  <m:r>
                    <m:t>1</m:t>
                  </m:r>
                  <m:r>
                    <m:rPr>
                      <m:sty m:val="p"/>
                    </m:rPr>
                    <m:t>/</m:t>
                  </m:r>
                  <m:r>
                    <m:rPr>
                      <m:sty m:val="p"/>
                    </m:rPr>
                    <m:t>(</m:t>
                  </m:r>
                  <m:r>
                    <m:t>1</m:t>
                  </m:r>
                  <m:r>
                    <m:rPr>
                      <m:sty m:val="p"/>
                    </m:rPr>
                    <m:t>−</m:t>
                  </m:r>
                  <m:r>
                    <m:t>λ</m:t>
                  </m:r>
                  <m:r>
                    <m:rPr>
                      <m:sty m:val="p"/>
                    </m:rPr>
                    <m:t>)</m:t>
                  </m:r>
                </m:e>
              </m:d>
              <m:r>
                <m:t> </m:t>
              </m:r>
              <m:r>
                <m:rPr>
                  <m:sty m:val="p"/>
                </m:rPr>
                <m:t>≈</m:t>
              </m:r>
              <m:r>
                <m:t> </m:t>
              </m:r>
              <m:r>
                <m:rPr>
                  <m:sty m:val="p"/>
                </m:rPr>
                <m:t>ln</m:t>
              </m:r>
              <m:r>
                <m:t>2</m:t>
              </m:r>
              <m:r>
                <m:t> </m:t>
              </m:r>
              <m:r>
                <m:rPr>
                  <m:sty m:val="p"/>
                </m:rPr>
                <m:t>/</m:t>
              </m:r>
              <m:r>
                <m:t> </m:t>
              </m:r>
              <m:r>
                <m:t>λ</m:t>
              </m:r>
            </m:e>
          </m:eqArr>
        </m:oMath>
      </m:oMathPara>
    </w:p>
    <w:bookmarkEnd w:id="59"/>
    <w:bookmarkStart w:id="60" w:name="a.9-headline-tecp-formula"/>
    <w:p>
      <w:pPr>
        <w:pStyle w:val="Heading2"/>
      </w:pPr>
      <w:r>
        <w:t xml:space="preserve">A.9 Headline TECP formula</w:t>
      </w:r>
    </w:p>
    <w:p>
      <w:pPr>
        <w:pStyle w:val="FirstParagraph"/>
      </w:pPr>
      <m:oMathPara>
        <m:oMathParaPr>
          <m:jc m:val="center"/>
        </m:oMathParaPr>
        <m:oMath>
          <m:sSup>
            <m:e>
              <m:r>
                <m:t>τ</m:t>
              </m:r>
            </m:e>
            <m:sup>
              <m:r>
                <m:rPr>
                  <m:sty m:val="p"/>
                </m:rPr>
                <m:t>*</m:t>
              </m:r>
            </m:sup>
          </m:sSup>
          <m:r>
            <m:t> </m:t>
          </m:r>
          <m:r>
            <m:rPr>
              <m:sty m:val="p"/>
            </m:rPr>
            <m:t>=</m:t>
          </m:r>
          <m:r>
            <m:t> </m:t>
          </m:r>
          <m:f>
            <m:fPr>
              <m:type m:val="bar"/>
            </m:fPr>
            <m:num>
              <m:r>
                <m:t>1</m:t>
              </m:r>
            </m:num>
            <m:den>
              <m:r>
                <m:rPr>
                  <m:sty m:val="p"/>
                </m:rPr>
                <m:t>Λ</m:t>
              </m:r>
            </m:den>
          </m:f>
          <m:r>
            <m:t> </m:t>
          </m:r>
          <m:nary>
            <m:naryPr>
              <m:chr m:val="∑"/>
              <m:limLoc m:val="undOvr"/>
              <m:subHide m:val="off"/>
              <m:supHide m:val="on"/>
            </m:naryPr>
            <m:sub>
              <m:r>
                <m:t>s</m:t>
              </m:r>
            </m:sub>
            <m:sup>
              <m:r>
                <m:t>​</m:t>
              </m:r>
            </m:sup>
            <m:e>
              <m:nary>
                <m:naryPr>
                  <m:chr m:val="∑"/>
                  <m:limLoc m:val="undOvr"/>
                  <m:subHide m:val="off"/>
                  <m:supHide m:val="on"/>
                </m:naryPr>
                <m:sub>
                  <m:r>
                    <m:t>f</m:t>
                  </m:r>
                </m:sub>
                <m:sup>
                  <m:r>
                    <m:t>​</m:t>
                  </m:r>
                </m:sup>
                <m:e>
                  <m:sSub>
                    <m:e>
                      <m:r>
                        <m:t>E</m:t>
                      </m:r>
                    </m:e>
                    <m:sub>
                      <m:r>
                        <m:t>f</m:t>
                      </m:r>
                      <m:r>
                        <m:t>s</m:t>
                      </m:r>
                    </m:sub>
                  </m:sSub>
                </m:e>
              </m:nary>
            </m:e>
          </m:nary>
          <m:d>
            <m:dPr>
              <m:begChr m:val="["/>
              <m:sepChr m:val=""/>
              <m:endChr m:val="]"/>
              <m:grow/>
            </m:dPr>
            <m:e>
              <m:r>
                <m:t> </m:t>
              </m:r>
              <m:sSubSup>
                <m:e>
                  <m:acc>
                    <m:accPr>
                      <m:chr m:val="̃"/>
                    </m:accPr>
                    <m:e>
                      <m:r>
                        <m:t>ε</m:t>
                      </m:r>
                    </m:e>
                  </m:acc>
                </m:e>
                <m:sub>
                  <m:r>
                    <m:t>f</m:t>
                  </m:r>
                  <m:r>
                    <m:t>s</m:t>
                  </m:r>
                </m:sub>
                <m:sup>
                  <m:r>
                    <m:t> </m:t>
                  </m:r>
                  <m:r>
                    <m:rPr>
                      <m:sty m:val="p"/>
                    </m:rPr>
                    <m:t>i</m:t>
                  </m:r>
                  <m:r>
                    <m:rPr>
                      <m:sty m:val="p"/>
                    </m:rPr>
                    <m:t>n</m:t>
                  </m:r>
                  <m:r>
                    <m:rPr>
                      <m:sty m:val="p"/>
                    </m:rPr>
                    <m:t>t</m:t>
                  </m:r>
                </m:sup>
              </m:sSubSup>
              <m:r>
                <m:rPr>
                  <m:sty m:val="p"/>
                </m:rPr>
                <m:t>⋅</m:t>
              </m:r>
              <m:sSubSup>
                <m:e>
                  <m:r>
                    <m:t>τ</m:t>
                  </m:r>
                </m:e>
                <m:sub>
                  <m:r>
                    <m:t>f</m:t>
                  </m:r>
                  <m:r>
                    <m:t>s</m:t>
                  </m:r>
                </m:sub>
                <m:sup>
                  <m:r>
                    <m:rPr>
                      <m:sty m:val="p"/>
                    </m:rPr>
                    <m:t>i</m:t>
                  </m:r>
                  <m:r>
                    <m:rPr>
                      <m:sty m:val="p"/>
                    </m:rPr>
                    <m:t>n</m:t>
                  </m:r>
                  <m:r>
                    <m:rPr>
                      <m:sty m:val="p"/>
                    </m:rPr>
                    <m:t>t</m:t>
                  </m:r>
                </m:sup>
              </m:sSubSup>
              <m:r>
                <m:t> </m:t>
              </m:r>
              <m:r>
                <m:rPr>
                  <m:sty m:val="p"/>
                </m:rPr>
                <m:t>+</m:t>
              </m:r>
              <m:r>
                <m:t> </m:t>
              </m:r>
              <m:sSubSup>
                <m:e>
                  <m:acc>
                    <m:accPr>
                      <m:chr m:val="̃"/>
                    </m:accPr>
                    <m:e>
                      <m:r>
                        <m:t>ε</m:t>
                      </m:r>
                    </m:e>
                  </m:acc>
                </m:e>
                <m:sub>
                  <m:r>
                    <m:t>s</m:t>
                  </m:r>
                </m:sub>
                <m:sup>
                  <m:r>
                    <m:t> </m:t>
                  </m:r>
                  <m:r>
                    <m:rPr>
                      <m:sty m:val="p"/>
                    </m:rPr>
                    <m:t>e</m:t>
                  </m:r>
                  <m:r>
                    <m:rPr>
                      <m:sty m:val="p"/>
                    </m:rPr>
                    <m:t>x</m:t>
                  </m:r>
                  <m:r>
                    <m:rPr>
                      <m:sty m:val="p"/>
                    </m:rPr>
                    <m:t>t</m:t>
                  </m:r>
                </m:sup>
              </m:sSubSup>
              <m:r>
                <m:rPr>
                  <m:sty m:val="p"/>
                </m:rPr>
                <m:t>⋅</m:t>
              </m:r>
              <m:sSubSup>
                <m:e>
                  <m:r>
                    <m:t>τ</m:t>
                  </m:r>
                </m:e>
                <m:sub>
                  <m:r>
                    <m:t>s</m:t>
                  </m:r>
                </m:sub>
                <m:sup>
                  <m:r>
                    <m:rPr>
                      <m:sty m:val="p"/>
                    </m:rPr>
                    <m:t>e</m:t>
                  </m:r>
                  <m:r>
                    <m:rPr>
                      <m:sty m:val="p"/>
                    </m:rPr>
                    <m:t>x</m:t>
                  </m:r>
                  <m:r>
                    <m:rPr>
                      <m:sty m:val="p"/>
                    </m:rPr>
                    <m:t>t</m:t>
                  </m:r>
                </m:sup>
              </m:sSubSup>
              <m:r>
                <m:t> </m:t>
              </m:r>
            </m:e>
          </m:d>
        </m:oMath>
      </m:oMathPara>
    </w:p>
    <w:p>
      <w:pPr>
        <w:pStyle w:val="FirstParagraph"/>
      </w:pPr>
      <w:r>
        <w:t xml:space="preserve">with normalisation</w:t>
      </w:r>
    </w:p>
    <w:p>
      <w:pPr>
        <w:pStyle w:val="BodyText"/>
      </w:pPr>
      <m:oMathPara>
        <m:oMathParaPr>
          <m:jc m:val="center"/>
        </m:oMathParaPr>
        <m:oMath>
          <m:r>
            <m:rPr>
              <m:sty m:val="p"/>
            </m:rPr>
            <m:t>Λ</m:t>
          </m:r>
          <m:r>
            <m:t> </m:t>
          </m:r>
          <m:r>
            <m:rPr>
              <m:sty m:val="p"/>
            </m:rPr>
            <m:t>=</m:t>
          </m:r>
          <m:r>
            <m:t> </m:t>
          </m:r>
          <m:nary>
            <m:naryPr>
              <m:chr m:val="∑"/>
              <m:limLoc m:val="undOvr"/>
              <m:subHide m:val="off"/>
              <m:supHide m:val="on"/>
            </m:naryPr>
            <m:sub>
              <m:r>
                <m:t>s</m:t>
              </m:r>
            </m:sub>
            <m:sup>
              <m:r>
                <m:t>​</m:t>
              </m:r>
            </m:sup>
            <m:e>
              <m:nary>
                <m:naryPr>
                  <m:chr m:val="∑"/>
                  <m:limLoc m:val="undOvr"/>
                  <m:subHide m:val="off"/>
                  <m:supHide m:val="on"/>
                </m:naryPr>
                <m:sub>
                  <m:r>
                    <m:t>f</m:t>
                  </m:r>
                </m:sub>
                <m:sup>
                  <m:r>
                    <m:t>​</m:t>
                  </m:r>
                </m:sup>
                <m:e>
                  <m:sSub>
                    <m:e>
                      <m:r>
                        <m:t>E</m:t>
                      </m:r>
                    </m:e>
                    <m:sub>
                      <m:r>
                        <m:t>f</m:t>
                      </m:r>
                      <m:r>
                        <m:t>s</m:t>
                      </m:r>
                    </m:sub>
                  </m:sSub>
                </m:e>
              </m:nary>
            </m:e>
          </m:nary>
          <m:d>
            <m:dPr>
              <m:begChr m:val="["/>
              <m:sepChr m:val=""/>
              <m:endChr m:val="]"/>
              <m:grow/>
            </m:dPr>
            <m:e>
              <m:r>
                <m:t> </m:t>
              </m:r>
              <m:sSubSup>
                <m:e>
                  <m:acc>
                    <m:accPr>
                      <m:chr m:val="̃"/>
                    </m:accPr>
                    <m:e>
                      <m:r>
                        <m:t>ε</m:t>
                      </m:r>
                    </m:e>
                  </m:acc>
                </m:e>
                <m:sub>
                  <m:r>
                    <m:t>f</m:t>
                  </m:r>
                  <m:r>
                    <m:t>s</m:t>
                  </m:r>
                </m:sub>
                <m:sup>
                  <m:r>
                    <m:t> </m:t>
                  </m:r>
                  <m:r>
                    <m:rPr>
                      <m:sty m:val="p"/>
                    </m:rPr>
                    <m:t>i</m:t>
                  </m:r>
                  <m:r>
                    <m:rPr>
                      <m:sty m:val="p"/>
                    </m:rPr>
                    <m:t>n</m:t>
                  </m:r>
                  <m:r>
                    <m:rPr>
                      <m:sty m:val="p"/>
                    </m:rPr>
                    <m:t>t</m:t>
                  </m:r>
                </m:sup>
              </m:sSubSup>
              <m:r>
                <m:rPr>
                  <m:sty m:val="p"/>
                </m:rPr>
                <m:t>⋅</m:t>
              </m:r>
              <m:r>
                <m:rPr>
                  <m:sty m:val="p"/>
                </m:rPr>
                <m:t>(</m:t>
              </m:r>
              <m:sSub>
                <m:e>
                  <m:r>
                    <m:t>e</m:t>
                  </m:r>
                </m:e>
                <m:sub>
                  <m:r>
                    <m:t>f</m:t>
                  </m:r>
                  <m:r>
                    <m:t>s</m:t>
                  </m:r>
                </m:sub>
              </m:sSub>
              <m:r>
                <m:rPr>
                  <m:sty m:val="p"/>
                </m:rPr>
                <m:t>−</m:t>
              </m:r>
              <m:sSub>
                <m:e>
                  <m:acc>
                    <m:accPr>
                      <m:chr m:val="‾"/>
                    </m:accPr>
                    <m:e>
                      <m:r>
                        <m:t>e</m:t>
                      </m:r>
                    </m:e>
                  </m:acc>
                </m:e>
                <m:sub>
                  <m:r>
                    <m:t>s</m:t>
                  </m:r>
                </m:sub>
              </m:sSub>
              <m:r>
                <m:rPr>
                  <m:sty m:val="p"/>
                </m:rPr>
                <m:t>)</m:t>
              </m:r>
              <m:r>
                <m:t> </m:t>
              </m:r>
              <m:r>
                <m:rPr>
                  <m:sty m:val="p"/>
                </m:rPr>
                <m:t>+</m:t>
              </m:r>
              <m:r>
                <m:t> </m:t>
              </m:r>
              <m:sSubSup>
                <m:e>
                  <m:acc>
                    <m:accPr>
                      <m:chr m:val="̃"/>
                    </m:accPr>
                    <m:e>
                      <m:r>
                        <m:t>ε</m:t>
                      </m:r>
                    </m:e>
                  </m:acc>
                </m:e>
                <m:sub>
                  <m:r>
                    <m:t>s</m:t>
                  </m:r>
                </m:sub>
                <m:sup>
                  <m:r>
                    <m:t> </m:t>
                  </m:r>
                  <m:r>
                    <m:rPr>
                      <m:sty m:val="p"/>
                    </m:rPr>
                    <m:t>e</m:t>
                  </m:r>
                  <m:r>
                    <m:rPr>
                      <m:sty m:val="p"/>
                    </m:rPr>
                    <m:t>x</m:t>
                  </m:r>
                  <m:r>
                    <m:rPr>
                      <m:sty m:val="p"/>
                    </m:rPr>
                    <m:t>t</m:t>
                  </m:r>
                </m:sup>
              </m:sSubSup>
              <m:r>
                <m:rPr>
                  <m:sty m:val="p"/>
                </m:rPr>
                <m:t>⋅</m:t>
              </m:r>
              <m:sSub>
                <m:e>
                  <m:acc>
                    <m:accPr>
                      <m:chr m:val="‾"/>
                    </m:accPr>
                    <m:e>
                      <m:r>
                        <m:t>e</m:t>
                      </m:r>
                    </m:e>
                  </m:acc>
                </m:e>
                <m:sub>
                  <m:r>
                    <m:t>s</m:t>
                  </m:r>
                </m:sub>
              </m:sSub>
              <m:r>
                <m:t> </m:t>
              </m:r>
            </m:e>
          </m:d>
        </m:oMath>
      </m:oMathPara>
    </w:p>
    <w:p>
      <w:pPr>
        <w:pStyle w:val="FirstParagraph"/>
      </w:pPr>
      <w:r>
        <w:t xml:space="preserve">and</w:t>
      </w:r>
      <w:r>
        <w:t xml:space="preserve"> </w:t>
      </w:r>
      <m:oMath>
        <m:r>
          <m:rPr>
            <m:sty m:val="p"/>
          </m:rPr>
          <m:t>Ω</m:t>
        </m:r>
      </m:oMath>
      <w:r>
        <w:t xml:space="preserve"> </w:t>
      </w:r>
      <w:r>
        <w:t xml:space="preserve">weights</w:t>
      </w:r>
    </w:p>
    <w:p>
      <w:pPr>
        <w:pStyle w:val="BodyText"/>
      </w:pPr>
      <m:oMathPara>
        <m:oMathParaPr>
          <m:jc m:val="center"/>
        </m:oMathParaPr>
        <m:oMath>
          <m:sSubSup>
            <m:e>
              <m:r>
                <m:rPr>
                  <m:sty m:val="p"/>
                </m:rPr>
                <m:t>Ω</m:t>
              </m:r>
            </m:e>
            <m:sub>
              <m:r>
                <m:t>f</m:t>
              </m:r>
              <m:r>
                <m:t>s</m:t>
              </m:r>
            </m:sub>
            <m:sup>
              <m:r>
                <m:rPr>
                  <m:sty m:val="p"/>
                </m:rPr>
                <m:t>i</m:t>
              </m:r>
              <m:r>
                <m:rPr>
                  <m:sty m:val="p"/>
                </m:rPr>
                <m:t>n</m:t>
              </m:r>
              <m:r>
                <m:rPr>
                  <m:sty m:val="p"/>
                </m:rPr>
                <m:t>t</m:t>
              </m:r>
            </m:sup>
          </m:sSubSup>
          <m:r>
            <m:rPr>
              <m:sty m:val="p"/>
            </m:rPr>
            <m:t>=</m:t>
          </m:r>
          <m:f>
            <m:fPr>
              <m:type m:val="bar"/>
            </m:fPr>
            <m:num>
              <m:sSub>
                <m:e>
                  <m:r>
                    <m:t>E</m:t>
                  </m:r>
                </m:e>
                <m:sub>
                  <m:r>
                    <m:t>f</m:t>
                  </m:r>
                  <m:r>
                    <m:t>s</m:t>
                  </m:r>
                </m:sub>
              </m:sSub>
              <m:r>
                <m:t> </m:t>
              </m:r>
              <m:sSubSup>
                <m:e>
                  <m:acc>
                    <m:accPr>
                      <m:chr m:val="̃"/>
                    </m:accPr>
                    <m:e>
                      <m:r>
                        <m:t>ε</m:t>
                      </m:r>
                    </m:e>
                  </m:acc>
                </m:e>
                <m:sub>
                  <m:r>
                    <m:t>f</m:t>
                  </m:r>
                  <m:r>
                    <m:t>s</m:t>
                  </m:r>
                </m:sub>
                <m:sup>
                  <m:r>
                    <m:t> </m:t>
                  </m:r>
                  <m:r>
                    <m:rPr>
                      <m:sty m:val="p"/>
                    </m:rPr>
                    <m:t>i</m:t>
                  </m:r>
                  <m:r>
                    <m:rPr>
                      <m:sty m:val="p"/>
                    </m:rPr>
                    <m:t>n</m:t>
                  </m:r>
                  <m:r>
                    <m:rPr>
                      <m:sty m:val="p"/>
                    </m:rPr>
                    <m:t>t</m:t>
                  </m:r>
                </m:sup>
              </m:sSubSup>
            </m:num>
            <m:den>
              <m:r>
                <m:rPr>
                  <m:sty m:val="p"/>
                </m:rPr>
                <m:t>Λ</m:t>
              </m:r>
            </m:den>
          </m:f>
          <m:r>
            <m:rPr>
              <m:sty m:val="p"/>
            </m:rPr>
            <m:t>,</m:t>
          </m:r>
          <m:r>
            <m:t>  </m:t>
          </m:r>
          <m:sSubSup>
            <m:e>
              <m:r>
                <m:rPr>
                  <m:sty m:val="p"/>
                </m:rPr>
                <m:t>Ω</m:t>
              </m:r>
            </m:e>
            <m:sub>
              <m:r>
                <m:t>s</m:t>
              </m:r>
            </m:sub>
            <m:sup>
              <m:r>
                <m:rPr>
                  <m:sty m:val="p"/>
                </m:rPr>
                <m:t>e</m:t>
              </m:r>
              <m:r>
                <m:rPr>
                  <m:sty m:val="p"/>
                </m:rPr>
                <m:t>x</m:t>
              </m:r>
              <m:r>
                <m:rPr>
                  <m:sty m:val="p"/>
                </m:rPr>
                <m:t>t</m:t>
              </m:r>
            </m:sup>
          </m:sSubSup>
          <m:r>
            <m:rPr>
              <m:sty m:val="p"/>
            </m:rPr>
            <m:t>=</m:t>
          </m:r>
          <m:f>
            <m:fPr>
              <m:type m:val="bar"/>
            </m:fPr>
            <m:num>
              <m:d>
                <m:dPr>
                  <m:begChr m:val="("/>
                  <m:sepChr m:val=""/>
                  <m:endChr m:val=")"/>
                  <m:grow/>
                </m:dPr>
                <m:e>
                  <m:nary>
                    <m:naryPr>
                      <m:chr m:val="∑"/>
                      <m:limLoc m:val="undOvr"/>
                      <m:subHide m:val="off"/>
                      <m:supHide m:val="on"/>
                    </m:naryPr>
                    <m:sub>
                      <m:r>
                        <m:t>f</m:t>
                      </m:r>
                    </m:sub>
                    <m:sup>
                      <m:r>
                        <m:t>​</m:t>
                      </m:r>
                    </m:sup>
                    <m:e>
                      <m:sSub>
                        <m:e>
                          <m:r>
                            <m:t>E</m:t>
                          </m:r>
                        </m:e>
                        <m:sub>
                          <m:r>
                            <m:t>f</m:t>
                          </m:r>
                          <m:r>
                            <m:t>s</m:t>
                          </m:r>
                        </m:sub>
                      </m:sSub>
                    </m:e>
                  </m:nary>
                </m:e>
              </m:d>
              <m:r>
                <m:t> </m:t>
              </m:r>
              <m:sSubSup>
                <m:e>
                  <m:acc>
                    <m:accPr>
                      <m:chr m:val="̃"/>
                    </m:accPr>
                    <m:e>
                      <m:r>
                        <m:t>ε</m:t>
                      </m:r>
                    </m:e>
                  </m:acc>
                </m:e>
                <m:sub>
                  <m:r>
                    <m:t>s</m:t>
                  </m:r>
                </m:sub>
                <m:sup>
                  <m:r>
                    <m:t> </m:t>
                  </m:r>
                  <m:r>
                    <m:rPr>
                      <m:sty m:val="p"/>
                    </m:rPr>
                    <m:t>e</m:t>
                  </m:r>
                  <m:r>
                    <m:rPr>
                      <m:sty m:val="p"/>
                    </m:rPr>
                    <m:t>x</m:t>
                  </m:r>
                  <m:r>
                    <m:rPr>
                      <m:sty m:val="p"/>
                    </m:rPr>
                    <m:t>t</m:t>
                  </m:r>
                </m:sup>
              </m:sSubSup>
            </m:num>
            <m:den>
              <m:r>
                <m:rPr>
                  <m:sty m:val="p"/>
                </m:rPr>
                <m:t>Λ</m:t>
              </m:r>
            </m:den>
          </m:f>
          <m:r>
            <m:rPr>
              <m:sty m:val="p"/>
            </m:rPr>
            <m:t>.</m:t>
          </m:r>
        </m:oMath>
      </m:oMathPara>
    </w:p>
    <w:bookmarkEnd w:id="60"/>
    <w:bookmarkEnd w:id="61"/>
    <w:bookmarkStart w:id="63" w:name="references"/>
    <w:p>
      <w:pPr>
        <w:pStyle w:val="Heading1"/>
      </w:pPr>
      <w:r>
        <w:t xml:space="preserve">References</w:t>
      </w:r>
    </w:p>
    <w:bookmarkStart w:id="62" w:name="refs"/>
    <w:bookmarkEnd w:id="62"/>
    <w:bookmarkEnd w:id="6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Total Effective Carbon Price</dc:title>
  <dc:creator/>
  <cp:keywords>Carbon pricing, Effective carbon rate, Climate policy, CES energy demand, Partial adjustment, Abatement elasticity, Intensive and extensive margins</cp:keywords>
  <dcterms:created xsi:type="dcterms:W3CDTF">2026-09-17T20:12:20Z</dcterms:created>
  <dcterms:modified xsi:type="dcterms:W3CDTF">2026-09-17T20:12:20Z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Countries deploy heterogeneous mixes of climate policy instruments — carbon taxes, emissions trading systems, feebates, fuel excise duties, clean fuel standards, subsidies. Existing metrics, including the OECD’s Effective Carbon Rate and the IMF’s effective carbon price, aggregate the nominal price signals these instruments impose, but do not weight them by their abatement effectiveness. As a result they cannot compare a carbon tax to a feebate, a feebate to a fuel standard, or any of these to a clean-electricity mandate. They measure what is paid, not what is achieved.This paper proposes the Total Effective Carbon Price (TECP): a single economy-wide carbon-tax-equivalent that would produce the same emissions reduction as the actual policy mix. The TECP is derived from a nested CES energy demand model that decomposes each policy into two channels: an intensive (fuel-switching) margin governed by the substitution elasticity \sigma, and an extensive (demand-reduction) margin governed by the aggregate energy demand elasticity \eta. Each policy instrument is mapped to an intensive and an extensive carbon price; these are weighted by abatement weights — properties of the economy, not of the policy — derived from the energy balance, fuel prices, emission factors, and demand elasticities.The paper is in two parts. Part I develops the TECP metric and the headline formula. Part II develops the microeconomic engine: a nested CES with split-speed partial adjustment, in which conservation responds quickly to price signals while fuel switching responds slowly because it requires capital replacement. The two parts are self-contained but complementary: the TECP is the policy-facing application; the CES model is the structure that makes it tractable. A prototype implementation runs in a single spreadsheet in under a second.</vt:lpwstr>
  </property>
  <property fmtid="{D5CDD505-2E9C-101B-9397-08002B2CF9AE}" pid="3" name="bibliography">
    <vt:lpwstr>Background-References.bib</vt:lpwstr>
  </property>
  <property fmtid="{D5CDD505-2E9C-101B-9397-08002B2CF9AE}" pid="4" name="date">
    <vt:lpwstr>May 2026</vt:lpwstr>
  </property>
  <property fmtid="{D5CDD505-2E9C-101B-9397-08002B2CF9AE}" pid="5" name="format">
    <vt:lpwstr/>
  </property>
  <property fmtid="{D5CDD505-2E9C-101B-9397-08002B2CF9AE}" pid="6" name="subtitle">
    <vt:lpwstr>A CES-based metric for comparing climate policy instruments, with a microeconomic foundation in energy demand and partial adjustment</vt:lpwstr>
  </property>
</Properties>
</file>